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7AD3" w14:textId="47FFAEAF" w:rsidR="00A177CC" w:rsidRPr="00BE6682" w:rsidRDefault="00A177CC" w:rsidP="00A177CC">
      <w:pPr>
        <w:spacing w:before="100" w:beforeAutospacing="1" w:after="10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b/>
          <w:bCs/>
          <w:color w:val="00A343"/>
          <w:sz w:val="36"/>
          <w:szCs w:val="36"/>
          <w:lang w:eastAsia="es-ES"/>
        </w:rPr>
      </w:pPr>
      <w:bookmarkStart w:id="0" w:name="_Toc26359369"/>
      <w:r w:rsidRPr="00BE6682">
        <w:rPr>
          <w:rFonts w:ascii="IberPangea Text" w:eastAsia="Times New Roman" w:hAnsi="IberPangea Text" w:cs="IberPangea Text"/>
          <w:b/>
          <w:bCs/>
          <w:color w:val="00A343"/>
          <w:sz w:val="36"/>
          <w:szCs w:val="36"/>
          <w:lang w:eastAsia="es-ES"/>
        </w:rPr>
        <w:t xml:space="preserve">Iberdrola acuerda la venta de </w:t>
      </w:r>
      <w:r w:rsidR="00824FA0" w:rsidRPr="00BE6682">
        <w:rPr>
          <w:rFonts w:ascii="IberPangea Text" w:eastAsia="Times New Roman" w:hAnsi="IberPangea Text" w:cs="IberPangea Text"/>
          <w:b/>
          <w:bCs/>
          <w:color w:val="00A343"/>
          <w:sz w:val="36"/>
          <w:szCs w:val="36"/>
          <w:lang w:eastAsia="es-ES"/>
        </w:rPr>
        <w:t>negocios</w:t>
      </w:r>
      <w:r w:rsidRPr="00BE6682">
        <w:rPr>
          <w:rFonts w:ascii="IberPangea Text" w:eastAsia="Times New Roman" w:hAnsi="IberPangea Text" w:cs="IberPangea Text"/>
          <w:b/>
          <w:bCs/>
          <w:color w:val="00A343"/>
          <w:sz w:val="36"/>
          <w:szCs w:val="36"/>
          <w:lang w:eastAsia="es-ES"/>
        </w:rPr>
        <w:t xml:space="preserve"> en México por 4.200 millones de dólares</w:t>
      </w:r>
    </w:p>
    <w:p w14:paraId="1C7CFB26" w14:textId="6FFF0B07" w:rsidR="00824FA0" w:rsidRDefault="00824FA0" w:rsidP="00A177CC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</w:pP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La transacción </w:t>
      </w:r>
      <w:r w:rsidR="00F7084A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responde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a las expectativas de inversión de 55.000 millones de euros</w:t>
      </w:r>
      <w:r w:rsidR="00DD2272" w:rsidRPr="00DD227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</w:t>
      </w:r>
      <w:r w:rsidR="00DD227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en sus filiales de redes eléctricas de transporte y distribución, fundament</w:t>
      </w:r>
      <w:r w:rsidR="00733E23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almente</w:t>
      </w:r>
      <w:r w:rsidR="00DD227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en los Estados Unidos </w:t>
      </w:r>
      <w:r w:rsidR="00F823F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y </w:t>
      </w:r>
      <w:r w:rsidR="00DD227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el Reino Unido</w:t>
      </w:r>
    </w:p>
    <w:p w14:paraId="4C2A2BA7" w14:textId="25224172" w:rsidR="005103E7" w:rsidRDefault="00DD2272" w:rsidP="00BE6682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</w:pP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L</w:t>
      </w:r>
      <w:r w:rsidR="005103E7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a operación, 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junto con la ampliación de capital </w:t>
      </w:r>
      <w:r w:rsidRPr="00BE668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recientemente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ejecutada, </w:t>
      </w:r>
      <w:r w:rsidR="00BD0C67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asegura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los</w:t>
      </w:r>
      <w:r w:rsidR="00BD0C67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recursos para acometer 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esas</w:t>
      </w:r>
      <w:r w:rsidR="00BD0C67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inversiones </w:t>
      </w:r>
    </w:p>
    <w:p w14:paraId="3008A83B" w14:textId="2E35800B" w:rsidR="00A177CC" w:rsidRDefault="00A177CC" w:rsidP="00A177CC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</w:pP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El perímetro de la </w:t>
      </w:r>
      <w:r w:rsidR="00985D59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operación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incluye </w:t>
      </w: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15 </w:t>
      </w:r>
      <w:r w:rsidR="004D32F0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centrales</w:t>
      </w: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con </w:t>
      </w: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2,6 GW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de potencia, </w:t>
      </w:r>
      <w:r w:rsidR="001221FF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la actividad comercial y la</w:t>
      </w: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cartera de proyectos</w:t>
      </w:r>
      <w:r w:rsidR="00FB24F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en desarroll</w:t>
      </w:r>
      <w:r w:rsidR="00BE1AF2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o</w:t>
      </w:r>
      <w:r w:rsidR="001221FF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, que el comprador pretende </w:t>
      </w:r>
      <w:r w:rsidR="00FB24F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poner en operación en el futuro</w:t>
      </w:r>
    </w:p>
    <w:p w14:paraId="6B28B012" w14:textId="0165A32C" w:rsidR="001221FF" w:rsidRPr="00A177CC" w:rsidRDefault="001221FF" w:rsidP="001221FF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</w:pP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El </w:t>
      </w:r>
      <w:r w:rsidR="00BD0C67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acuerdo</w:t>
      </w:r>
      <w:r w:rsidR="004D32F0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, </w:t>
      </w:r>
      <w:r w:rsidR="004D32F0"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sujeto a las aprobaciones habituales</w:t>
      </w:r>
      <w:r w:rsidR="004D32F0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>,</w:t>
      </w:r>
      <w:r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implica un múltiplo de 1,6 millones de dólares por MW operativo</w:t>
      </w:r>
      <w:r w:rsidRPr="00A177CC">
        <w:rPr>
          <w:rFonts w:ascii="IberPangea Text" w:eastAsia="Times New Roman" w:hAnsi="IberPangea Text" w:cs="IberPangea Text"/>
          <w:i/>
          <w:iCs/>
          <w:color w:val="00A343"/>
          <w:sz w:val="24"/>
          <w:szCs w:val="24"/>
          <w:lang w:eastAsia="es-ES"/>
        </w:rPr>
        <w:t xml:space="preserve"> </w:t>
      </w:r>
    </w:p>
    <w:p w14:paraId="6F6ABEAD" w14:textId="77777777" w:rsidR="00140DAF" w:rsidRPr="00140DAF" w:rsidRDefault="00140DAF" w:rsidP="00140DAF">
      <w:pPr>
        <w:spacing w:after="0"/>
        <w:jc w:val="both"/>
        <w:textAlignment w:val="baseline"/>
        <w:rPr>
          <w:rFonts w:ascii="IberPangea Text" w:eastAsia="Times New Roman" w:hAnsi="IberPangea Text" w:cs="IberPangea Text"/>
          <w:color w:val="00100B"/>
          <w:sz w:val="24"/>
          <w:szCs w:val="24"/>
          <w:lang w:eastAsia="en-GB"/>
        </w:rPr>
      </w:pPr>
      <w:r w:rsidRPr="00140DAF">
        <w:rPr>
          <w:rFonts w:ascii="IberPangea Text" w:eastAsia="Times New Roman" w:hAnsi="IberPangea Text" w:cs="IberPangea Text"/>
          <w:noProof/>
          <w:color w:val="00100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A1D71E" wp14:editId="38B9F2FA">
                <wp:simplePos x="0" y="0"/>
                <wp:positionH relativeFrom="margin">
                  <wp:posOffset>-5715</wp:posOffset>
                </wp:positionH>
                <wp:positionV relativeFrom="paragraph">
                  <wp:posOffset>20320</wp:posOffset>
                </wp:positionV>
                <wp:extent cx="540571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7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A34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FDE70" id="Straight Connector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45pt,1.6pt" to="425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" strokecolor="#00a343" strokeweight=".5pt">
                <v:stroke joinstyle="miter"/>
                <w10:wrap anchorx="margin"/>
              </v:line>
            </w:pict>
          </mc:Fallback>
        </mc:AlternateContent>
      </w:r>
    </w:p>
    <w:bookmarkEnd w:id="0"/>
    <w:p w14:paraId="20D82C15" w14:textId="7DB48E6C" w:rsidR="00C42B07" w:rsidRDefault="00B753D0" w:rsidP="004371B1">
      <w:pPr>
        <w:spacing w:line="264" w:lineRule="auto"/>
        <w:jc w:val="both"/>
        <w:rPr>
          <w:rFonts w:ascii="IberPangea" w:hAnsi="IberPangea" w:cs="IberPangea"/>
        </w:rPr>
      </w:pPr>
      <w:r w:rsidRPr="00B753D0">
        <w:rPr>
          <w:rFonts w:ascii="IberPangea" w:hAnsi="IberPangea" w:cs="IberPangea"/>
        </w:rPr>
        <w:t>Iberdrola ha anunciado la venta de negocio</w:t>
      </w:r>
      <w:r w:rsidR="00824FA0">
        <w:rPr>
          <w:rFonts w:ascii="IberPangea" w:hAnsi="IberPangea" w:cs="IberPangea"/>
        </w:rPr>
        <w:t>s</w:t>
      </w:r>
      <w:r w:rsidRPr="00B753D0">
        <w:rPr>
          <w:rFonts w:ascii="IberPangea" w:hAnsi="IberPangea" w:cs="IberPangea"/>
        </w:rPr>
        <w:t xml:space="preserve"> en México por 4.200 millones de dólares</w:t>
      </w:r>
      <w:r w:rsidR="00C42B07">
        <w:rPr>
          <w:rFonts w:ascii="IberPangea" w:hAnsi="IberPangea" w:cs="IberPangea"/>
        </w:rPr>
        <w:t xml:space="preserve"> (unos 3.</w:t>
      </w:r>
      <w:r w:rsidR="003C5BE3">
        <w:rPr>
          <w:rFonts w:ascii="IberPangea" w:hAnsi="IberPangea" w:cs="IberPangea"/>
        </w:rPr>
        <w:t>7</w:t>
      </w:r>
      <w:r w:rsidR="00C42B07">
        <w:rPr>
          <w:rFonts w:ascii="IberPangea" w:hAnsi="IberPangea" w:cs="IberPangea"/>
        </w:rPr>
        <w:t>00 millones de euros)</w:t>
      </w:r>
      <w:r w:rsidRPr="00B753D0">
        <w:rPr>
          <w:rFonts w:ascii="IberPangea" w:hAnsi="IberPangea" w:cs="IberPangea"/>
        </w:rPr>
        <w:t>.</w:t>
      </w:r>
      <w:r w:rsidR="001221FF">
        <w:rPr>
          <w:rFonts w:ascii="IberPangea" w:hAnsi="IberPangea" w:cs="IberPangea"/>
        </w:rPr>
        <w:t xml:space="preserve"> </w:t>
      </w:r>
    </w:p>
    <w:p w14:paraId="102BC755" w14:textId="7B5726B4" w:rsidR="00BD0C67" w:rsidRDefault="00BD0C67" w:rsidP="004371B1">
      <w:pPr>
        <w:spacing w:line="264" w:lineRule="auto"/>
        <w:jc w:val="both"/>
        <w:rPr>
          <w:rFonts w:ascii="IberPangea" w:hAnsi="IberPangea" w:cs="IberPangea"/>
        </w:rPr>
      </w:pPr>
      <w:r w:rsidRPr="00BD0C67">
        <w:rPr>
          <w:rFonts w:ascii="IberPangea" w:hAnsi="IberPangea" w:cs="IberPangea"/>
        </w:rPr>
        <w:t xml:space="preserve">La </w:t>
      </w:r>
      <w:r>
        <w:rPr>
          <w:rFonts w:ascii="IberPangea" w:hAnsi="IberPangea" w:cs="IberPangea"/>
        </w:rPr>
        <w:t>operación responde</w:t>
      </w:r>
      <w:r w:rsidRPr="00BD0C67">
        <w:rPr>
          <w:rFonts w:ascii="IberPangea" w:hAnsi="IberPangea" w:cs="IberPangea"/>
        </w:rPr>
        <w:t xml:space="preserve"> a las expectativas de inversión orgánica de 55.000 millones de euros en redes eléctricas de transporte y distribución </w:t>
      </w:r>
      <w:r w:rsidR="00DD2272">
        <w:rPr>
          <w:rFonts w:ascii="IberPangea" w:hAnsi="IberPangea" w:cs="IberPangea"/>
        </w:rPr>
        <w:t xml:space="preserve">en sus filiales de </w:t>
      </w:r>
      <w:r w:rsidRPr="00BD0C67">
        <w:rPr>
          <w:rFonts w:ascii="IberPangea" w:hAnsi="IberPangea" w:cs="IberPangea"/>
        </w:rPr>
        <w:t>los Estados Unidos</w:t>
      </w:r>
      <w:r w:rsidR="00DD2272">
        <w:rPr>
          <w:rFonts w:ascii="IberPangea" w:hAnsi="IberPangea" w:cs="IberPangea"/>
        </w:rPr>
        <w:t xml:space="preserve"> (</w:t>
      </w:r>
      <w:proofErr w:type="spellStart"/>
      <w:r w:rsidR="00DD2272">
        <w:rPr>
          <w:rFonts w:ascii="IberPangea" w:hAnsi="IberPangea" w:cs="IberPangea"/>
        </w:rPr>
        <w:t>Avangrid</w:t>
      </w:r>
      <w:proofErr w:type="spellEnd"/>
      <w:r w:rsidR="00F823FC">
        <w:rPr>
          <w:rFonts w:ascii="IberPangea" w:hAnsi="IberPangea" w:cs="IberPangea"/>
        </w:rPr>
        <w:t xml:space="preserve"> Networks</w:t>
      </w:r>
      <w:r w:rsidR="00DD2272">
        <w:rPr>
          <w:rFonts w:ascii="IberPangea" w:hAnsi="IberPangea" w:cs="IberPangea"/>
        </w:rPr>
        <w:t>)</w:t>
      </w:r>
      <w:r>
        <w:rPr>
          <w:rFonts w:ascii="IberPangea" w:hAnsi="IberPangea" w:cs="IberPangea"/>
        </w:rPr>
        <w:t>,</w:t>
      </w:r>
      <w:r w:rsidRPr="00BD0C67">
        <w:rPr>
          <w:rFonts w:ascii="IberPangea" w:hAnsi="IberPangea" w:cs="IberPangea"/>
        </w:rPr>
        <w:t xml:space="preserve"> el Reino Unido</w:t>
      </w:r>
      <w:r w:rsidR="00DD2272">
        <w:rPr>
          <w:rFonts w:ascii="IberPangea" w:hAnsi="IberPangea" w:cs="IberPangea"/>
        </w:rPr>
        <w:t xml:space="preserve"> (</w:t>
      </w:r>
      <w:proofErr w:type="spellStart"/>
      <w:r w:rsidR="00DD2272">
        <w:rPr>
          <w:rFonts w:ascii="IberPangea" w:hAnsi="IberPangea" w:cs="IberPangea"/>
        </w:rPr>
        <w:t>ScottishPower</w:t>
      </w:r>
      <w:proofErr w:type="spellEnd"/>
      <w:r w:rsidR="00F823FC">
        <w:rPr>
          <w:rFonts w:ascii="IberPangea" w:hAnsi="IberPangea" w:cs="IberPangea"/>
        </w:rPr>
        <w:t xml:space="preserve"> Energy Networks</w:t>
      </w:r>
      <w:r w:rsidR="00DD2272">
        <w:rPr>
          <w:rFonts w:ascii="IberPangea" w:hAnsi="IberPangea" w:cs="IberPangea"/>
        </w:rPr>
        <w:t>)</w:t>
      </w:r>
      <w:r w:rsidRPr="00BD0C67">
        <w:rPr>
          <w:rFonts w:ascii="IberPangea" w:hAnsi="IberPangea" w:cs="IberPangea"/>
        </w:rPr>
        <w:t xml:space="preserve">, </w:t>
      </w:r>
      <w:r>
        <w:rPr>
          <w:rFonts w:ascii="IberPangea" w:hAnsi="IberPangea" w:cs="IberPangea"/>
        </w:rPr>
        <w:t xml:space="preserve">Brasil </w:t>
      </w:r>
      <w:r w:rsidR="00DD2272">
        <w:rPr>
          <w:rFonts w:ascii="IberPangea" w:hAnsi="IberPangea" w:cs="IberPangea"/>
        </w:rPr>
        <w:t>(</w:t>
      </w:r>
      <w:proofErr w:type="spellStart"/>
      <w:r w:rsidR="00DD2272">
        <w:rPr>
          <w:rFonts w:ascii="IberPangea" w:hAnsi="IberPangea" w:cs="IberPangea"/>
        </w:rPr>
        <w:t>Neoenergia</w:t>
      </w:r>
      <w:proofErr w:type="spellEnd"/>
      <w:r w:rsidR="00DD2272">
        <w:rPr>
          <w:rFonts w:ascii="IberPangea" w:hAnsi="IberPangea" w:cs="IberPangea"/>
        </w:rPr>
        <w:t xml:space="preserve">) </w:t>
      </w:r>
      <w:r>
        <w:rPr>
          <w:rFonts w:ascii="IberPangea" w:hAnsi="IberPangea" w:cs="IberPangea"/>
        </w:rPr>
        <w:t>y España</w:t>
      </w:r>
      <w:r w:rsidR="00DD2272">
        <w:rPr>
          <w:rFonts w:ascii="IberPangea" w:hAnsi="IberPangea" w:cs="IberPangea"/>
        </w:rPr>
        <w:t xml:space="preserve"> (</w:t>
      </w:r>
      <w:r w:rsidR="00FB24FC">
        <w:rPr>
          <w:rFonts w:ascii="IberPangea" w:hAnsi="IberPangea" w:cs="IberPangea"/>
        </w:rPr>
        <w:t>i-D</w:t>
      </w:r>
      <w:r w:rsidR="00DD7028">
        <w:rPr>
          <w:rFonts w:ascii="IberPangea" w:hAnsi="IberPangea" w:cs="IberPangea"/>
        </w:rPr>
        <w:t>E)</w:t>
      </w:r>
      <w:r>
        <w:rPr>
          <w:rFonts w:ascii="IberPangea" w:hAnsi="IberPangea" w:cs="IberPangea"/>
        </w:rPr>
        <w:t xml:space="preserve">, que supondrán casi duplicar su base de activos regulados hasta </w:t>
      </w:r>
      <w:r w:rsidR="00F7084A">
        <w:rPr>
          <w:rFonts w:ascii="IberPangea" w:hAnsi="IberPangea" w:cs="IberPangea"/>
        </w:rPr>
        <w:t xml:space="preserve">alcanzar los </w:t>
      </w:r>
      <w:r>
        <w:rPr>
          <w:rFonts w:ascii="IberPangea" w:hAnsi="IberPangea" w:cs="IberPangea"/>
        </w:rPr>
        <w:t>90.000 millones de euros en los próximos años.</w:t>
      </w:r>
    </w:p>
    <w:p w14:paraId="0389119B" w14:textId="266A938A" w:rsidR="00BD0C67" w:rsidRDefault="00BD0C67" w:rsidP="004371B1">
      <w:pPr>
        <w:spacing w:line="264" w:lineRule="auto"/>
        <w:jc w:val="both"/>
        <w:rPr>
          <w:rFonts w:ascii="IberPangea" w:hAnsi="IberPangea" w:cs="IberPangea"/>
        </w:rPr>
      </w:pPr>
      <w:r>
        <w:rPr>
          <w:rFonts w:ascii="IberPangea" w:hAnsi="IberPangea" w:cs="IberPangea"/>
        </w:rPr>
        <w:t>Est</w:t>
      </w:r>
      <w:r w:rsidR="00DD2272">
        <w:rPr>
          <w:rFonts w:ascii="IberPangea" w:hAnsi="IberPangea" w:cs="IberPangea"/>
        </w:rPr>
        <w:t xml:space="preserve">a estrategia </w:t>
      </w:r>
      <w:r>
        <w:rPr>
          <w:rFonts w:ascii="IberPangea" w:hAnsi="IberPangea" w:cs="IberPangea"/>
        </w:rPr>
        <w:t xml:space="preserve">llevó </w:t>
      </w:r>
      <w:r w:rsidR="00DD2272">
        <w:rPr>
          <w:rFonts w:ascii="IberPangea" w:hAnsi="IberPangea" w:cs="IberPangea"/>
        </w:rPr>
        <w:t xml:space="preserve">ya </w:t>
      </w:r>
      <w:r>
        <w:rPr>
          <w:rFonts w:ascii="IberPangea" w:hAnsi="IberPangea" w:cs="IberPangea"/>
        </w:rPr>
        <w:t xml:space="preserve">a </w:t>
      </w:r>
      <w:r w:rsidR="00FB24FC">
        <w:rPr>
          <w:rFonts w:ascii="IberPangea" w:hAnsi="IberPangea" w:cs="IberPangea"/>
        </w:rPr>
        <w:t xml:space="preserve">la filial británica de </w:t>
      </w:r>
      <w:r>
        <w:rPr>
          <w:rFonts w:ascii="IberPangea" w:hAnsi="IberPangea" w:cs="IberPangea"/>
        </w:rPr>
        <w:t>Iberdrola</w:t>
      </w:r>
      <w:r w:rsidR="00FB24FC">
        <w:rPr>
          <w:rFonts w:ascii="IberPangea" w:hAnsi="IberPangea" w:cs="IberPangea"/>
        </w:rPr>
        <w:t xml:space="preserve">, </w:t>
      </w:r>
      <w:proofErr w:type="spellStart"/>
      <w:r w:rsidR="00FB24FC">
        <w:rPr>
          <w:rFonts w:ascii="IberPangea" w:hAnsi="IberPangea" w:cs="IberPangea"/>
        </w:rPr>
        <w:t>ScottishPower</w:t>
      </w:r>
      <w:proofErr w:type="spellEnd"/>
      <w:r w:rsidR="00FB24FC">
        <w:rPr>
          <w:rFonts w:ascii="IberPangea" w:hAnsi="IberPangea" w:cs="IberPangea"/>
        </w:rPr>
        <w:t>,</w:t>
      </w:r>
      <w:r>
        <w:rPr>
          <w:rFonts w:ascii="IberPangea" w:hAnsi="IberPangea" w:cs="IberPangea"/>
        </w:rPr>
        <w:t xml:space="preserve"> a adquirir hace apenas un año </w:t>
      </w:r>
      <w:r w:rsidR="00FB24FC">
        <w:rPr>
          <w:rFonts w:ascii="IberPangea" w:hAnsi="IberPangea" w:cs="IberPangea"/>
        </w:rPr>
        <w:t>por 5.000 millones de euros</w:t>
      </w:r>
      <w:r w:rsidR="00FB24FC" w:rsidRPr="00BD0C67">
        <w:rPr>
          <w:rFonts w:ascii="IberPangea" w:hAnsi="IberPangea" w:cs="IberPangea"/>
        </w:rPr>
        <w:t xml:space="preserve"> </w:t>
      </w:r>
      <w:r w:rsidRPr="00BD0C67">
        <w:rPr>
          <w:rFonts w:ascii="IberPangea" w:hAnsi="IberPangea" w:cs="IberPangea"/>
        </w:rPr>
        <w:t xml:space="preserve">la distribuidora </w:t>
      </w:r>
      <w:proofErr w:type="spellStart"/>
      <w:r w:rsidRPr="00BD0C67">
        <w:rPr>
          <w:rFonts w:ascii="IberPangea" w:hAnsi="IberPangea" w:cs="IberPangea"/>
        </w:rPr>
        <w:t>Electricity</w:t>
      </w:r>
      <w:proofErr w:type="spellEnd"/>
      <w:r w:rsidRPr="00BD0C67">
        <w:rPr>
          <w:rFonts w:ascii="IberPangea" w:hAnsi="IberPangea" w:cs="IberPangea"/>
        </w:rPr>
        <w:t xml:space="preserve"> North-West</w:t>
      </w:r>
      <w:r w:rsidR="00FB24FC">
        <w:rPr>
          <w:rFonts w:ascii="IberPangea" w:hAnsi="IberPangea" w:cs="IberPangea"/>
        </w:rPr>
        <w:t>, que da servicio en el noroeste de Inglaterra</w:t>
      </w:r>
      <w:r>
        <w:rPr>
          <w:rFonts w:ascii="IberPangea" w:hAnsi="IberPangea" w:cs="IberPangea"/>
        </w:rPr>
        <w:t xml:space="preserve">. </w:t>
      </w:r>
    </w:p>
    <w:p w14:paraId="0B096548" w14:textId="3AFA5208" w:rsidR="00DD2272" w:rsidRPr="00DD2272" w:rsidRDefault="00F823FC" w:rsidP="004371B1">
      <w:pPr>
        <w:spacing w:line="264" w:lineRule="auto"/>
        <w:jc w:val="both"/>
        <w:rPr>
          <w:rFonts w:ascii="IberPangea" w:hAnsi="IberPangea" w:cs="IberPangea"/>
        </w:rPr>
      </w:pPr>
      <w:r>
        <w:rPr>
          <w:rFonts w:ascii="IberPangea" w:hAnsi="IberPangea" w:cs="IberPangea"/>
        </w:rPr>
        <w:t>J</w:t>
      </w:r>
      <w:r w:rsidR="00DD2272" w:rsidRPr="00DD2272">
        <w:rPr>
          <w:rFonts w:ascii="IberPangea" w:hAnsi="IberPangea" w:cs="IberPangea"/>
        </w:rPr>
        <w:t>unto con la ampliación de capital recientemente ejecutada</w:t>
      </w:r>
      <w:r w:rsidR="00FB24FC">
        <w:rPr>
          <w:rFonts w:ascii="IberPangea" w:hAnsi="IberPangea" w:cs="IberPangea"/>
        </w:rPr>
        <w:t>, el</w:t>
      </w:r>
      <w:r w:rsidR="00DD2272" w:rsidRPr="00DD2272">
        <w:rPr>
          <w:rFonts w:ascii="IberPangea" w:hAnsi="IberPangea" w:cs="IberPangea"/>
        </w:rPr>
        <w:t xml:space="preserve"> flujo de caja operativo</w:t>
      </w:r>
      <w:r w:rsidR="00FB24FC">
        <w:rPr>
          <w:rFonts w:ascii="IberPangea" w:hAnsi="IberPangea" w:cs="IberPangea"/>
        </w:rPr>
        <w:t xml:space="preserve"> y</w:t>
      </w:r>
      <w:r w:rsidR="00DD2272">
        <w:rPr>
          <w:rFonts w:ascii="IberPangea" w:hAnsi="IberPangea" w:cs="IberPangea"/>
        </w:rPr>
        <w:t xml:space="preserve"> l</w:t>
      </w:r>
      <w:r w:rsidR="00DD2272" w:rsidRPr="00DD2272">
        <w:rPr>
          <w:rFonts w:ascii="IberPangea" w:hAnsi="IberPangea" w:cs="IberPangea"/>
        </w:rPr>
        <w:t>a liquidez</w:t>
      </w:r>
      <w:r w:rsidR="00FB24FC">
        <w:rPr>
          <w:rFonts w:ascii="IberPangea" w:hAnsi="IberPangea" w:cs="IberPangea"/>
        </w:rPr>
        <w:t xml:space="preserve"> actual</w:t>
      </w:r>
      <w:r w:rsidR="00DD2272">
        <w:rPr>
          <w:rFonts w:ascii="IberPangea" w:hAnsi="IberPangea" w:cs="IberPangea"/>
        </w:rPr>
        <w:t xml:space="preserve">, </w:t>
      </w:r>
      <w:r>
        <w:rPr>
          <w:rFonts w:ascii="IberPangea" w:hAnsi="IberPangea" w:cs="IberPangea"/>
        </w:rPr>
        <w:t xml:space="preserve">la </w:t>
      </w:r>
      <w:r w:rsidRPr="00DD2272">
        <w:rPr>
          <w:rFonts w:ascii="IberPangea" w:hAnsi="IberPangea" w:cs="IberPangea"/>
        </w:rPr>
        <w:t xml:space="preserve">operación asegura </w:t>
      </w:r>
      <w:r w:rsidR="00DD2272" w:rsidRPr="00DD2272">
        <w:rPr>
          <w:rFonts w:ascii="IberPangea" w:hAnsi="IberPangea" w:cs="IberPangea"/>
        </w:rPr>
        <w:t xml:space="preserve">los recursos para acometer </w:t>
      </w:r>
      <w:r w:rsidR="00851A52">
        <w:rPr>
          <w:rFonts w:ascii="IberPangea" w:hAnsi="IberPangea" w:cs="IberPangea"/>
        </w:rPr>
        <w:t>los</w:t>
      </w:r>
      <w:r w:rsidR="00DD2272" w:rsidRPr="00DD2272">
        <w:rPr>
          <w:rFonts w:ascii="IberPangea" w:hAnsi="IberPangea" w:cs="IberPangea"/>
        </w:rPr>
        <w:t xml:space="preserve"> planes de inversión </w:t>
      </w:r>
      <w:r>
        <w:rPr>
          <w:rFonts w:ascii="IberPangea" w:hAnsi="IberPangea" w:cs="IberPangea"/>
        </w:rPr>
        <w:t xml:space="preserve">del Grupo </w:t>
      </w:r>
      <w:r w:rsidR="00DD2272" w:rsidRPr="00DD2272">
        <w:rPr>
          <w:rFonts w:ascii="IberPangea" w:hAnsi="IberPangea" w:cs="IberPangea"/>
        </w:rPr>
        <w:t>en</w:t>
      </w:r>
      <w:r w:rsidR="00DD2272">
        <w:rPr>
          <w:rFonts w:ascii="IberPangea" w:hAnsi="IberPangea" w:cs="IberPangea"/>
        </w:rPr>
        <w:t xml:space="preserve"> los próximos años</w:t>
      </w:r>
      <w:r w:rsidR="00851A52">
        <w:rPr>
          <w:rFonts w:ascii="IberPangea" w:hAnsi="IberPangea" w:cs="IberPangea"/>
        </w:rPr>
        <w:t>.</w:t>
      </w:r>
      <w:r w:rsidR="00DD2272" w:rsidRPr="00DD2272">
        <w:rPr>
          <w:rFonts w:ascii="IberPangea" w:hAnsi="IberPangea" w:cs="IberPangea"/>
        </w:rPr>
        <w:t xml:space="preserve"> </w:t>
      </w:r>
    </w:p>
    <w:p w14:paraId="0797FE2E" w14:textId="58D9A4C9" w:rsidR="001221FF" w:rsidRDefault="00BE6682" w:rsidP="004371B1">
      <w:pPr>
        <w:spacing w:line="264" w:lineRule="auto"/>
        <w:jc w:val="both"/>
        <w:rPr>
          <w:rFonts w:ascii="IberPangea" w:hAnsi="IberPangea" w:cs="IberPangea"/>
        </w:rPr>
      </w:pPr>
      <w:r>
        <w:rPr>
          <w:rFonts w:ascii="IberPangea" w:hAnsi="IberPangea" w:cs="IberPangea"/>
        </w:rPr>
        <w:t xml:space="preserve">El perímetro de la transacción, que supone un múltiplo de valoración de 1,6 millones de dólares por MW operativo, </w:t>
      </w:r>
      <w:r w:rsidR="001221FF">
        <w:rPr>
          <w:rFonts w:ascii="IberPangea" w:hAnsi="IberPangea" w:cs="IberPangea"/>
        </w:rPr>
        <w:t xml:space="preserve">incluye </w:t>
      </w:r>
      <w:r w:rsidR="00B753D0" w:rsidRPr="00B753D0">
        <w:rPr>
          <w:rFonts w:ascii="IberPangea" w:hAnsi="IberPangea" w:cs="IberPangea"/>
        </w:rPr>
        <w:t>una capacidad instalada de 2</w:t>
      </w:r>
      <w:r w:rsidR="00C42B07">
        <w:rPr>
          <w:rFonts w:ascii="IberPangea" w:hAnsi="IberPangea" w:cs="IberPangea"/>
        </w:rPr>
        <w:t>.600 M</w:t>
      </w:r>
      <w:r w:rsidR="00B753D0" w:rsidRPr="00B753D0">
        <w:rPr>
          <w:rFonts w:ascii="IberPangea" w:hAnsi="IberPangea" w:cs="IberPangea"/>
        </w:rPr>
        <w:t>W</w:t>
      </w:r>
      <w:r w:rsidR="009B6A58">
        <w:rPr>
          <w:rFonts w:ascii="IberPangea" w:hAnsi="IberPangea" w:cs="IberPangea"/>
        </w:rPr>
        <w:t xml:space="preserve"> </w:t>
      </w:r>
      <w:r>
        <w:rPr>
          <w:rFonts w:ascii="IberPangea" w:hAnsi="IberPangea" w:cs="IberPangea"/>
        </w:rPr>
        <w:t xml:space="preserve">en funcionamiento </w:t>
      </w:r>
      <w:r w:rsidR="009B6A58">
        <w:rPr>
          <w:rFonts w:ascii="IberPangea" w:hAnsi="IberPangea" w:cs="IberPangea"/>
        </w:rPr>
        <w:t>-</w:t>
      </w:r>
      <w:r w:rsidR="001221FF">
        <w:rPr>
          <w:rFonts w:ascii="IberPangea" w:hAnsi="IberPangea" w:cs="IberPangea"/>
        </w:rPr>
        <w:t xml:space="preserve"> </w:t>
      </w:r>
      <w:r w:rsidR="00B753D0" w:rsidRPr="00B753D0">
        <w:rPr>
          <w:rFonts w:ascii="IberPangea" w:hAnsi="IberPangea" w:cs="IberPangea"/>
        </w:rPr>
        <w:t xml:space="preserve">1.368 MW </w:t>
      </w:r>
      <w:r>
        <w:rPr>
          <w:rFonts w:ascii="IberPangea" w:hAnsi="IberPangea" w:cs="IberPangea"/>
        </w:rPr>
        <w:t>de</w:t>
      </w:r>
      <w:r w:rsidR="001221FF">
        <w:rPr>
          <w:rFonts w:ascii="IberPangea" w:hAnsi="IberPangea" w:cs="IberPangea"/>
        </w:rPr>
        <w:t xml:space="preserve"> centrales</w:t>
      </w:r>
      <w:r w:rsidR="00B753D0" w:rsidRPr="00B753D0">
        <w:rPr>
          <w:rFonts w:ascii="IberPangea" w:hAnsi="IberPangea" w:cs="IberPangea"/>
        </w:rPr>
        <w:t xml:space="preserve"> de ciclo combinado y cogeneración y 1.232 MW </w:t>
      </w:r>
      <w:r>
        <w:rPr>
          <w:rFonts w:ascii="IberPangea" w:hAnsi="IberPangea" w:cs="IberPangea"/>
        </w:rPr>
        <w:t>de</w:t>
      </w:r>
      <w:r w:rsidR="004D32F0">
        <w:rPr>
          <w:rFonts w:ascii="IberPangea" w:hAnsi="IberPangea" w:cs="IberPangea"/>
        </w:rPr>
        <w:t xml:space="preserve"> </w:t>
      </w:r>
      <w:r w:rsidR="001221FF">
        <w:rPr>
          <w:rFonts w:ascii="IberPangea" w:hAnsi="IberPangea" w:cs="IberPangea"/>
        </w:rPr>
        <w:t xml:space="preserve">activos </w:t>
      </w:r>
      <w:r w:rsidR="0066141E">
        <w:rPr>
          <w:rFonts w:ascii="IberPangea" w:hAnsi="IberPangea" w:cs="IberPangea"/>
        </w:rPr>
        <w:t>eólicos y fotovoltaicos</w:t>
      </w:r>
      <w:r w:rsidR="009B6A58">
        <w:rPr>
          <w:rFonts w:ascii="IberPangea" w:hAnsi="IberPangea" w:cs="IberPangea"/>
        </w:rPr>
        <w:t>-</w:t>
      </w:r>
      <w:r w:rsidR="004D32F0">
        <w:rPr>
          <w:rFonts w:ascii="IberPangea" w:hAnsi="IberPangea" w:cs="IberPangea"/>
        </w:rPr>
        <w:t xml:space="preserve">, la actividad comercial </w:t>
      </w:r>
      <w:r w:rsidR="004D32F0" w:rsidRPr="00F823FC">
        <w:rPr>
          <w:rFonts w:ascii="IberPangea" w:hAnsi="IberPangea" w:cs="IberPangea"/>
        </w:rPr>
        <w:t>y la cartera de proyectos de generación</w:t>
      </w:r>
      <w:r>
        <w:rPr>
          <w:rFonts w:ascii="IberPangea" w:hAnsi="IberPangea" w:cs="IberPangea"/>
        </w:rPr>
        <w:t>,</w:t>
      </w:r>
      <w:r w:rsidR="004D32F0" w:rsidRPr="00F823FC">
        <w:rPr>
          <w:rFonts w:ascii="IberPangea" w:hAnsi="IberPangea" w:cs="IberPangea"/>
        </w:rPr>
        <w:t xml:space="preserve"> que el comprador </w:t>
      </w:r>
      <w:r w:rsidR="00F823FC" w:rsidRPr="00F823FC">
        <w:rPr>
          <w:rFonts w:ascii="IberPangea" w:hAnsi="IberPangea" w:cs="IberPangea"/>
        </w:rPr>
        <w:t xml:space="preserve">pretende </w:t>
      </w:r>
      <w:r w:rsidR="00FB24FC" w:rsidRPr="00F823FC">
        <w:rPr>
          <w:rFonts w:ascii="IberPangea" w:hAnsi="IberPangea" w:cs="IberPangea"/>
        </w:rPr>
        <w:t>poner en operación</w:t>
      </w:r>
      <w:r w:rsidR="00F823FC" w:rsidRPr="00F823FC">
        <w:rPr>
          <w:rFonts w:ascii="IberPangea" w:hAnsi="IberPangea" w:cs="IberPangea"/>
        </w:rPr>
        <w:t xml:space="preserve"> en el futuro de acuerdo con sus planes de expansión en el país</w:t>
      </w:r>
      <w:r w:rsidR="004371B1">
        <w:rPr>
          <w:rFonts w:ascii="IberPangea" w:hAnsi="IberPangea" w:cs="IberPangea"/>
        </w:rPr>
        <w:t xml:space="preserve"> y con los marcos creados por el Gobierno de México que promueven la nueva generación</w:t>
      </w:r>
      <w:r>
        <w:rPr>
          <w:rFonts w:ascii="IberPangea" w:hAnsi="IberPangea" w:cs="IberPangea"/>
        </w:rPr>
        <w:t xml:space="preserve">. A medida que esos proyectos se fueran completando, el comprador realizaría </w:t>
      </w:r>
      <w:r w:rsidR="00F823FC" w:rsidRPr="00F823FC">
        <w:rPr>
          <w:rFonts w:ascii="IberPangea" w:hAnsi="IberPangea" w:cs="IberPangea"/>
        </w:rPr>
        <w:t xml:space="preserve">pagos </w:t>
      </w:r>
      <w:r>
        <w:rPr>
          <w:rFonts w:ascii="IberPangea" w:hAnsi="IberPangea" w:cs="IberPangea"/>
        </w:rPr>
        <w:t xml:space="preserve">a Iberdrola </w:t>
      </w:r>
      <w:r w:rsidRPr="00F823FC">
        <w:rPr>
          <w:rFonts w:ascii="IberPangea" w:hAnsi="IberPangea" w:cs="IberPangea"/>
        </w:rPr>
        <w:t xml:space="preserve">adicionales </w:t>
      </w:r>
      <w:r>
        <w:rPr>
          <w:rFonts w:ascii="IberPangea" w:hAnsi="IberPangea" w:cs="IberPangea"/>
        </w:rPr>
        <w:t>a los 4.200 millones de dólares acordados.</w:t>
      </w:r>
    </w:p>
    <w:p w14:paraId="6692FE4F" w14:textId="09EFC586" w:rsidR="00985D59" w:rsidRDefault="00B753D0" w:rsidP="004371B1">
      <w:pPr>
        <w:spacing w:line="264" w:lineRule="auto"/>
        <w:jc w:val="both"/>
        <w:rPr>
          <w:rFonts w:ascii="IberPangea" w:hAnsi="IberPangea" w:cs="IberPangea"/>
        </w:rPr>
      </w:pPr>
      <w:r w:rsidRPr="00B753D0">
        <w:rPr>
          <w:rFonts w:ascii="IberPangea" w:hAnsi="IberPangea" w:cs="IberPangea"/>
        </w:rPr>
        <w:t xml:space="preserve">La </w:t>
      </w:r>
      <w:r w:rsidR="00BE6682">
        <w:rPr>
          <w:rFonts w:ascii="IberPangea" w:hAnsi="IberPangea" w:cs="IberPangea"/>
        </w:rPr>
        <w:t>operación</w:t>
      </w:r>
      <w:r w:rsidRPr="00B753D0">
        <w:rPr>
          <w:rFonts w:ascii="IberPangea" w:hAnsi="IberPangea" w:cs="IberPangea"/>
        </w:rPr>
        <w:t xml:space="preserve"> está sujeta a la obtención de las aprobaciones regulatorias necesarias.</w:t>
      </w:r>
    </w:p>
    <w:p w14:paraId="6C2C05AD" w14:textId="70588C41" w:rsidR="00B753D0" w:rsidRPr="006F2603" w:rsidRDefault="00B753D0" w:rsidP="00B753D0">
      <w:pPr>
        <w:shd w:val="clear" w:color="auto" w:fill="FFFFFF"/>
        <w:spacing w:after="0"/>
        <w:jc w:val="both"/>
        <w:rPr>
          <w:rFonts w:ascii="IberPangea" w:eastAsia="Times New Roman" w:hAnsi="IberPangea" w:cs="IberPangea"/>
          <w:b/>
          <w:bCs/>
          <w:color w:val="000000"/>
          <w:sz w:val="16"/>
          <w:szCs w:val="16"/>
          <w:lang w:eastAsia="es-ES"/>
        </w:rPr>
      </w:pPr>
      <w:r w:rsidRPr="006F2603">
        <w:rPr>
          <w:rFonts w:ascii="IberPangea" w:eastAsia="Times New Roman" w:hAnsi="IberPangea" w:cs="IberPangea"/>
          <w:b/>
          <w:bCs/>
          <w:color w:val="000000"/>
          <w:sz w:val="16"/>
          <w:szCs w:val="16"/>
          <w:lang w:eastAsia="es-ES"/>
        </w:rPr>
        <w:t>Sobre Iberdrola</w:t>
      </w:r>
    </w:p>
    <w:p w14:paraId="6FE2B5A8" w14:textId="1694ED17" w:rsidR="00B753D0" w:rsidRPr="006F2603" w:rsidRDefault="00B753D0" w:rsidP="00B753D0">
      <w:pPr>
        <w:shd w:val="clear" w:color="auto" w:fill="FFFFFF"/>
        <w:spacing w:after="0"/>
        <w:jc w:val="both"/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</w:pP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Con más de 100.000 millones de euros de capitalización,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Iberdrola es la mayor compañía eléctrica de Europa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y una de las dos mayores a nivel mundial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. El Grupo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da servicio a más de 100 millones de personas en todo el mundo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y cuenta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una plantilla de más de 44.000 empleados y unos activos superiores a 160.000 millones de euros. En 2024, Iberdrola registró unos ingresos de casi 50.000 millones de euros, un beneficio neto de 5.600 millones de euros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. La compañía aporta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cerca de 10.300 millones de euros en contribuciones fiscales en los países en los que opera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y sostiene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más de 500.000 puestos de trabajo en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sus proveedores gracias a unas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compras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que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superaron los 18.000 millones de euros en 2024.</w:t>
      </w:r>
    </w:p>
    <w:p w14:paraId="5F26BCF6" w14:textId="5272DD6D" w:rsidR="00B753D0" w:rsidRPr="0026143F" w:rsidRDefault="00B753D0" w:rsidP="00C87760">
      <w:pPr>
        <w:shd w:val="clear" w:color="auto" w:fill="FFFFFF"/>
        <w:spacing w:after="0"/>
        <w:jc w:val="both"/>
        <w:rPr>
          <w:rFonts w:ascii="IberPangea" w:hAnsi="IberPangea" w:cs="IberPangea"/>
        </w:rPr>
      </w:pP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Desde el año 2001,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Iberdrola ha invertido más de 1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75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.000 millones de euros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en redes eléctricas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,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energías renovables,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y almacenamiento</w:t>
      </w:r>
      <w:r w:rsidRPr="006F2603" w:rsidDel="005F7C91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de energía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para contribuir a la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creación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de un modelo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energético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basado en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la electrificación. 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 La compañía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cuenta con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</w:t>
      </w:r>
      <w:r w:rsidR="00F7084A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cerca de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1,</w:t>
      </w:r>
      <w:r w:rsidR="00F7084A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4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millones de km de redes eléctricas en los Estados Unidos</w:t>
      </w:r>
      <w:r w:rsidR="00DD2272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(estados de Nueva York, Connecticut, Maine y Massachusetts)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, el Reino Unido</w:t>
      </w:r>
      <w:r w:rsidR="00DD2272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(Escocia, Inglaterra y Gales)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, Brasil </w:t>
      </w:r>
      <w:r w:rsidR="00DD2272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(estados de </w:t>
      </w:r>
      <w:proofErr w:type="spellStart"/>
      <w:r w:rsidR="00DD2272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Bahia</w:t>
      </w:r>
      <w:proofErr w:type="spellEnd"/>
      <w:r w:rsidR="00DD2272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, Rio Grande do Norte, Pernambuco, Sao Paulo y Mato Grosso do Sul, además de Brasilia) 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y España, así como con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57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.000 megavatios (MW) de capacidad</w:t>
      </w:r>
      <w:r w:rsidR="0066141E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 en todo el mundo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,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de los que más de 45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.000 MW </w:t>
      </w:r>
      <w:r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>son renovables</w:t>
      </w:r>
      <w:r w:rsidRPr="006F2603">
        <w:rPr>
          <w:rFonts w:ascii="IberPangea" w:eastAsia="Times New Roman" w:hAnsi="IberPangea" w:cs="IberPangea"/>
          <w:color w:val="000000"/>
          <w:sz w:val="16"/>
          <w:szCs w:val="16"/>
          <w:lang w:eastAsia="es-ES"/>
        </w:rPr>
        <w:t xml:space="preserve">. </w:t>
      </w:r>
    </w:p>
    <w:sectPr w:rsidR="00B753D0" w:rsidRPr="0026143F" w:rsidSect="007B305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4" w:right="1418" w:bottom="1814" w:left="1985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4C5A" w14:textId="77777777" w:rsidR="0077014A" w:rsidRDefault="0077014A">
      <w:pPr>
        <w:spacing w:after="0" w:line="240" w:lineRule="auto"/>
      </w:pPr>
      <w:r>
        <w:separator/>
      </w:r>
    </w:p>
  </w:endnote>
  <w:endnote w:type="continuationSeparator" w:id="0">
    <w:p w14:paraId="4422C007" w14:textId="77777777" w:rsidR="0077014A" w:rsidRDefault="0077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F18D" w14:textId="4371CCC0" w:rsidR="007E14CB" w:rsidRPr="00670B57" w:rsidRDefault="007031CE" w:rsidP="005D0F2D">
    <w:pPr>
      <w:pStyle w:val="MFootnote"/>
      <w:ind w:right="-569"/>
      <w:rPr>
        <w:rFonts w:ascii="IberPangea Text" w:hAnsi="IberPangea Text" w:cs="IberPangea Text"/>
        <w:noProof/>
        <w:color w:val="3A3734"/>
        <w:lang w:val="en-US"/>
      </w:rPr>
    </w:pPr>
    <w:r>
      <w:rPr>
        <w:rFonts w:ascii="IberPangea Text" w:hAnsi="IberPangea Text" w:cs="IberPangea Text"/>
        <w:noProof/>
        <w:color w:val="3A3734"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7FC8B07F" wp14:editId="4E2247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e3e475a905189ebcd4092b6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033F47" w14:textId="60679441" w:rsidR="007031CE" w:rsidRPr="007031CE" w:rsidRDefault="007031CE" w:rsidP="007031C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7031CE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8B07F" id="_x0000_t202" coordsize="21600,21600" o:spt="202" path="m,l,21600r21600,l21600,xe">
              <v:stroke joinstyle="miter"/>
              <v:path gradientshapeok="t" o:connecttype="rect"/>
            </v:shapetype>
            <v:shape id="MSIPCMee3e475a905189ebcd4092b6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1033F47" w14:textId="60679441" w:rsidR="007031CE" w:rsidRPr="007031CE" w:rsidRDefault="007031CE" w:rsidP="007031C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7031CE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746B" w14:textId="1613E502" w:rsidR="009C7BCA" w:rsidRDefault="009C7BC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44543F0" wp14:editId="11DFDF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95d448a6af6988e7b4cf0782" descr="{&quot;HashCode&quot;:123105668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5A2450" w14:textId="7E5F478B" w:rsidR="009C7BCA" w:rsidRPr="009C7BCA" w:rsidRDefault="009C7BCA" w:rsidP="009C7BC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9C7BCA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543F0" id="_x0000_t202" coordsize="21600,21600" o:spt="202" path="m,l,21600r21600,l21600,xe">
              <v:stroke joinstyle="miter"/>
              <v:path gradientshapeok="t" o:connecttype="rect"/>
            </v:shapetype>
            <v:shape id="MSIPCM95d448a6af6988e7b4cf0782" o:spid="_x0000_s1027" type="#_x0000_t202" alt="{&quot;HashCode&quot;:123105668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05A2450" w14:textId="7E5F478B" w:rsidR="009C7BCA" w:rsidRPr="009C7BCA" w:rsidRDefault="009C7BCA" w:rsidP="009C7BC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9C7BCA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2E59" w14:textId="77777777" w:rsidR="0077014A" w:rsidRDefault="0077014A">
      <w:pPr>
        <w:spacing w:after="0" w:line="240" w:lineRule="auto"/>
      </w:pPr>
      <w:r>
        <w:separator/>
      </w:r>
    </w:p>
  </w:footnote>
  <w:footnote w:type="continuationSeparator" w:id="0">
    <w:p w14:paraId="24AB9544" w14:textId="77777777" w:rsidR="0077014A" w:rsidRDefault="0077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772D" w14:textId="77777777" w:rsidR="007E14CB" w:rsidRDefault="00140DAF" w:rsidP="0046299F">
    <w:pPr>
      <w:pStyle w:val="Encabezad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AD01FC" wp14:editId="4131CFD1">
          <wp:simplePos x="0" y="0"/>
          <wp:positionH relativeFrom="column">
            <wp:posOffset>3830955</wp:posOffset>
          </wp:positionH>
          <wp:positionV relativeFrom="paragraph">
            <wp:posOffset>-194945</wp:posOffset>
          </wp:positionV>
          <wp:extent cx="1688465" cy="591185"/>
          <wp:effectExtent l="0" t="0" r="0" b="0"/>
          <wp:wrapThrough wrapText="bothSides">
            <wp:wrapPolygon edited="0">
              <wp:start x="2681" y="2784"/>
              <wp:lineTo x="1219" y="9744"/>
              <wp:lineTo x="1219" y="18097"/>
              <wp:lineTo x="2681" y="18097"/>
              <wp:lineTo x="2681" y="15313"/>
              <wp:lineTo x="20227" y="14617"/>
              <wp:lineTo x="20471" y="6960"/>
              <wp:lineTo x="6580" y="2784"/>
              <wp:lineTo x="2681" y="2784"/>
            </wp:wrapPolygon>
          </wp:wrapThrough>
          <wp:docPr id="352803371" name="Imagen 352803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4DB3" w14:textId="2980E8A4" w:rsidR="007E14CB" w:rsidRPr="00140DAF" w:rsidRDefault="002904D9" w:rsidP="00E70500">
    <w:pPr>
      <w:pStyle w:val="DBodytext"/>
      <w:rPr>
        <w:rFonts w:cs="IberPangea Text"/>
        <w:sz w:val="24"/>
        <w:szCs w:val="24"/>
      </w:rPr>
    </w:pPr>
    <w:r w:rsidRPr="00670B57">
      <w:rPr>
        <w:rFonts w:cstheme="minorHAnsi"/>
        <w:caps/>
        <w:noProof/>
      </w:rPr>
      <w:drawing>
        <wp:anchor distT="0" distB="0" distL="114300" distR="114300" simplePos="0" relativeHeight="251659776" behindDoc="1" locked="0" layoutInCell="1" allowOverlap="1" wp14:anchorId="1BB8D972" wp14:editId="58FF66DA">
          <wp:simplePos x="0" y="0"/>
          <wp:positionH relativeFrom="margin">
            <wp:align>right</wp:align>
          </wp:positionH>
          <wp:positionV relativeFrom="paragraph">
            <wp:posOffset>-132828</wp:posOffset>
          </wp:positionV>
          <wp:extent cx="1685925" cy="594995"/>
          <wp:effectExtent l="0" t="0" r="0" b="0"/>
          <wp:wrapTight wrapText="bothSides">
            <wp:wrapPolygon edited="0">
              <wp:start x="2685" y="2766"/>
              <wp:lineTo x="1220" y="9682"/>
              <wp:lineTo x="1220" y="17981"/>
              <wp:lineTo x="2685" y="17981"/>
              <wp:lineTo x="2685" y="15215"/>
              <wp:lineTo x="20258" y="14523"/>
              <wp:lineTo x="20502" y="6916"/>
              <wp:lineTo x="6590" y="2766"/>
              <wp:lineTo x="2685" y="2766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DAF" w:rsidRPr="00140DAF">
      <w:rPr>
        <w:rFonts w:cs="IberPangea Text"/>
      </w:rPr>
      <w:t>Nota de prensa</w:t>
    </w:r>
    <w:r w:rsidR="00140DAF" w:rsidRPr="00140DAF">
      <w:rPr>
        <w:rFonts w:cs="IberPangea Text"/>
      </w:rPr>
      <w:br/>
    </w:r>
    <w:r w:rsidR="00DD7028">
      <w:rPr>
        <w:rFonts w:cs="IberPangea Text"/>
      </w:rPr>
      <w:t>31 de juli</w:t>
    </w:r>
    <w:r w:rsidR="00B753D0">
      <w:rPr>
        <w:rFonts w:cs="IberPangea Text"/>
      </w:rPr>
      <w:t>o</w:t>
    </w:r>
    <w:r w:rsidR="00AE21FD" w:rsidRPr="00140DAF">
      <w:rPr>
        <w:rFonts w:cs="IberPangea Text"/>
      </w:rPr>
      <w:t xml:space="preserve"> </w:t>
    </w:r>
    <w:r w:rsidR="00140DAF" w:rsidRPr="00140DAF">
      <w:rPr>
        <w:rFonts w:cs="IberPangea Text"/>
      </w:rPr>
      <w:t>de 202</w:t>
    </w:r>
    <w:r w:rsidR="00AE21FD">
      <w:rPr>
        <w:rFonts w:cs="IberPangea Text"/>
      </w:rPr>
      <w:t>5</w:t>
    </w:r>
    <w:r w:rsidR="00AB5BF7">
      <w:rPr>
        <w:rFonts w:cs="IberPangea Tex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301"/>
    <w:multiLevelType w:val="multilevel"/>
    <w:tmpl w:val="8DE4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041C"/>
    <w:multiLevelType w:val="hybridMultilevel"/>
    <w:tmpl w:val="CB529F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4164C0"/>
    <w:multiLevelType w:val="hybridMultilevel"/>
    <w:tmpl w:val="D916C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5529">
    <w:abstractNumId w:val="1"/>
  </w:num>
  <w:num w:numId="2" w16cid:durableId="772284086">
    <w:abstractNumId w:val="3"/>
  </w:num>
  <w:num w:numId="3" w16cid:durableId="42484765">
    <w:abstractNumId w:val="0"/>
  </w:num>
  <w:num w:numId="4" w16cid:durableId="183784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F"/>
    <w:rsid w:val="00000828"/>
    <w:rsid w:val="000041AE"/>
    <w:rsid w:val="0000513B"/>
    <w:rsid w:val="00021936"/>
    <w:rsid w:val="000220B1"/>
    <w:rsid w:val="000270E4"/>
    <w:rsid w:val="000328D9"/>
    <w:rsid w:val="000458A5"/>
    <w:rsid w:val="000525CA"/>
    <w:rsid w:val="0007292C"/>
    <w:rsid w:val="00097150"/>
    <w:rsid w:val="000A109C"/>
    <w:rsid w:val="000A6A27"/>
    <w:rsid w:val="000B16E6"/>
    <w:rsid w:val="000B2AED"/>
    <w:rsid w:val="000C75DC"/>
    <w:rsid w:val="000D5AF5"/>
    <w:rsid w:val="000E33B7"/>
    <w:rsid w:val="000E614C"/>
    <w:rsid w:val="000F383D"/>
    <w:rsid w:val="000F629F"/>
    <w:rsid w:val="00105C12"/>
    <w:rsid w:val="00113BF0"/>
    <w:rsid w:val="0011645A"/>
    <w:rsid w:val="001221FF"/>
    <w:rsid w:val="001269A1"/>
    <w:rsid w:val="001359CA"/>
    <w:rsid w:val="00140DAF"/>
    <w:rsid w:val="001433F8"/>
    <w:rsid w:val="00143C13"/>
    <w:rsid w:val="00167BF2"/>
    <w:rsid w:val="00171CA8"/>
    <w:rsid w:val="001732E7"/>
    <w:rsid w:val="00176D45"/>
    <w:rsid w:val="00182759"/>
    <w:rsid w:val="00192F32"/>
    <w:rsid w:val="00195559"/>
    <w:rsid w:val="00195645"/>
    <w:rsid w:val="001A2207"/>
    <w:rsid w:val="001A2EF3"/>
    <w:rsid w:val="001C3DF9"/>
    <w:rsid w:val="001D2EE8"/>
    <w:rsid w:val="001D7609"/>
    <w:rsid w:val="001E16D7"/>
    <w:rsid w:val="001E7DFB"/>
    <w:rsid w:val="001F3DFD"/>
    <w:rsid w:val="002057F3"/>
    <w:rsid w:val="00214C92"/>
    <w:rsid w:val="002216A2"/>
    <w:rsid w:val="002221EE"/>
    <w:rsid w:val="00222AEC"/>
    <w:rsid w:val="0022300C"/>
    <w:rsid w:val="00227B1E"/>
    <w:rsid w:val="00237FA4"/>
    <w:rsid w:val="00245AD4"/>
    <w:rsid w:val="0026143F"/>
    <w:rsid w:val="0028080B"/>
    <w:rsid w:val="002904D9"/>
    <w:rsid w:val="00292E95"/>
    <w:rsid w:val="002B0E2D"/>
    <w:rsid w:val="002B2D0A"/>
    <w:rsid w:val="002C1E58"/>
    <w:rsid w:val="002C2325"/>
    <w:rsid w:val="002C3284"/>
    <w:rsid w:val="00303440"/>
    <w:rsid w:val="00313793"/>
    <w:rsid w:val="00321AB1"/>
    <w:rsid w:val="003245D1"/>
    <w:rsid w:val="00324DC1"/>
    <w:rsid w:val="0033638D"/>
    <w:rsid w:val="0033758A"/>
    <w:rsid w:val="0035770E"/>
    <w:rsid w:val="00360DD6"/>
    <w:rsid w:val="00376BE5"/>
    <w:rsid w:val="00391518"/>
    <w:rsid w:val="003A4545"/>
    <w:rsid w:val="003A574F"/>
    <w:rsid w:val="003B0947"/>
    <w:rsid w:val="003B6000"/>
    <w:rsid w:val="003C5BE3"/>
    <w:rsid w:val="003D5338"/>
    <w:rsid w:val="003E0AF3"/>
    <w:rsid w:val="003E3BE9"/>
    <w:rsid w:val="003E4535"/>
    <w:rsid w:val="003E7B1A"/>
    <w:rsid w:val="003F72EF"/>
    <w:rsid w:val="00407DD9"/>
    <w:rsid w:val="00413BDA"/>
    <w:rsid w:val="00414D53"/>
    <w:rsid w:val="00424C80"/>
    <w:rsid w:val="00434EEC"/>
    <w:rsid w:val="00435BA1"/>
    <w:rsid w:val="00436CE8"/>
    <w:rsid w:val="004371B1"/>
    <w:rsid w:val="004374FD"/>
    <w:rsid w:val="00437BA6"/>
    <w:rsid w:val="00444B4D"/>
    <w:rsid w:val="00457B2D"/>
    <w:rsid w:val="00467555"/>
    <w:rsid w:val="00475A9C"/>
    <w:rsid w:val="004766D4"/>
    <w:rsid w:val="00476808"/>
    <w:rsid w:val="004868A4"/>
    <w:rsid w:val="004A222C"/>
    <w:rsid w:val="004A78C1"/>
    <w:rsid w:val="004B0D76"/>
    <w:rsid w:val="004B2DE0"/>
    <w:rsid w:val="004B44D1"/>
    <w:rsid w:val="004B7C56"/>
    <w:rsid w:val="004C09A6"/>
    <w:rsid w:val="004D1859"/>
    <w:rsid w:val="004D32F0"/>
    <w:rsid w:val="004F3B4D"/>
    <w:rsid w:val="005103E7"/>
    <w:rsid w:val="005113CE"/>
    <w:rsid w:val="005353F1"/>
    <w:rsid w:val="005417BB"/>
    <w:rsid w:val="00546010"/>
    <w:rsid w:val="00546714"/>
    <w:rsid w:val="00553746"/>
    <w:rsid w:val="00556D29"/>
    <w:rsid w:val="005614D5"/>
    <w:rsid w:val="0057609A"/>
    <w:rsid w:val="0058442E"/>
    <w:rsid w:val="00595A78"/>
    <w:rsid w:val="00595BB2"/>
    <w:rsid w:val="0059609E"/>
    <w:rsid w:val="005B19B0"/>
    <w:rsid w:val="005B6A03"/>
    <w:rsid w:val="005C68EE"/>
    <w:rsid w:val="005D4051"/>
    <w:rsid w:val="005E375D"/>
    <w:rsid w:val="005E7D04"/>
    <w:rsid w:val="005F16C3"/>
    <w:rsid w:val="005F5869"/>
    <w:rsid w:val="005F5AB9"/>
    <w:rsid w:val="00601804"/>
    <w:rsid w:val="0060560F"/>
    <w:rsid w:val="00615287"/>
    <w:rsid w:val="0061599E"/>
    <w:rsid w:val="006227E5"/>
    <w:rsid w:val="0065482B"/>
    <w:rsid w:val="00656F24"/>
    <w:rsid w:val="0066141E"/>
    <w:rsid w:val="00667218"/>
    <w:rsid w:val="006735D7"/>
    <w:rsid w:val="00687747"/>
    <w:rsid w:val="0069157D"/>
    <w:rsid w:val="006B2A06"/>
    <w:rsid w:val="006B337E"/>
    <w:rsid w:val="006C1E69"/>
    <w:rsid w:val="006C3A4A"/>
    <w:rsid w:val="006C6CE8"/>
    <w:rsid w:val="006D3C6F"/>
    <w:rsid w:val="006E53A2"/>
    <w:rsid w:val="006F0EDB"/>
    <w:rsid w:val="006F4391"/>
    <w:rsid w:val="007031CE"/>
    <w:rsid w:val="007314E4"/>
    <w:rsid w:val="00733E23"/>
    <w:rsid w:val="00735ADA"/>
    <w:rsid w:val="00746772"/>
    <w:rsid w:val="0075311A"/>
    <w:rsid w:val="00765126"/>
    <w:rsid w:val="0077014A"/>
    <w:rsid w:val="00777109"/>
    <w:rsid w:val="00780867"/>
    <w:rsid w:val="00785A9B"/>
    <w:rsid w:val="00790281"/>
    <w:rsid w:val="00795A7B"/>
    <w:rsid w:val="007963B5"/>
    <w:rsid w:val="007B305F"/>
    <w:rsid w:val="007D0D9B"/>
    <w:rsid w:val="007D4394"/>
    <w:rsid w:val="007E14CB"/>
    <w:rsid w:val="007E1EB0"/>
    <w:rsid w:val="007E494D"/>
    <w:rsid w:val="007F033A"/>
    <w:rsid w:val="008057EB"/>
    <w:rsid w:val="00812D42"/>
    <w:rsid w:val="00824FA0"/>
    <w:rsid w:val="00826E1E"/>
    <w:rsid w:val="008373AB"/>
    <w:rsid w:val="00845077"/>
    <w:rsid w:val="00846294"/>
    <w:rsid w:val="00851A52"/>
    <w:rsid w:val="00874234"/>
    <w:rsid w:val="00875A74"/>
    <w:rsid w:val="00882696"/>
    <w:rsid w:val="00890FE8"/>
    <w:rsid w:val="0089565B"/>
    <w:rsid w:val="008A4B77"/>
    <w:rsid w:val="008A5567"/>
    <w:rsid w:val="008A7430"/>
    <w:rsid w:val="008B32EA"/>
    <w:rsid w:val="008C0CE8"/>
    <w:rsid w:val="008D20F7"/>
    <w:rsid w:val="008D3EBB"/>
    <w:rsid w:val="008E04EB"/>
    <w:rsid w:val="008E4375"/>
    <w:rsid w:val="008E7FF6"/>
    <w:rsid w:val="0090462B"/>
    <w:rsid w:val="00926A89"/>
    <w:rsid w:val="0093701E"/>
    <w:rsid w:val="009461F3"/>
    <w:rsid w:val="00961964"/>
    <w:rsid w:val="00961CC1"/>
    <w:rsid w:val="00974A97"/>
    <w:rsid w:val="0098211F"/>
    <w:rsid w:val="0098255B"/>
    <w:rsid w:val="00985D59"/>
    <w:rsid w:val="0099614D"/>
    <w:rsid w:val="009A2D77"/>
    <w:rsid w:val="009B6A58"/>
    <w:rsid w:val="009C7BCA"/>
    <w:rsid w:val="009D0C9B"/>
    <w:rsid w:val="009D4847"/>
    <w:rsid w:val="009F4F73"/>
    <w:rsid w:val="00A01D1C"/>
    <w:rsid w:val="00A02810"/>
    <w:rsid w:val="00A036C9"/>
    <w:rsid w:val="00A05DBB"/>
    <w:rsid w:val="00A0668D"/>
    <w:rsid w:val="00A177CC"/>
    <w:rsid w:val="00A53AF5"/>
    <w:rsid w:val="00A55362"/>
    <w:rsid w:val="00A5794A"/>
    <w:rsid w:val="00A644A1"/>
    <w:rsid w:val="00A64E25"/>
    <w:rsid w:val="00A72A4F"/>
    <w:rsid w:val="00A80B96"/>
    <w:rsid w:val="00A91B33"/>
    <w:rsid w:val="00AA0C19"/>
    <w:rsid w:val="00AA5CC5"/>
    <w:rsid w:val="00AA7788"/>
    <w:rsid w:val="00AB5BF7"/>
    <w:rsid w:val="00AC1016"/>
    <w:rsid w:val="00AC2675"/>
    <w:rsid w:val="00AC2E80"/>
    <w:rsid w:val="00AC5D59"/>
    <w:rsid w:val="00AC61B1"/>
    <w:rsid w:val="00AC659A"/>
    <w:rsid w:val="00AE166E"/>
    <w:rsid w:val="00AE21FD"/>
    <w:rsid w:val="00AF3DC2"/>
    <w:rsid w:val="00B13564"/>
    <w:rsid w:val="00B15BD5"/>
    <w:rsid w:val="00B163A7"/>
    <w:rsid w:val="00B20476"/>
    <w:rsid w:val="00B271AA"/>
    <w:rsid w:val="00B30412"/>
    <w:rsid w:val="00B30CD5"/>
    <w:rsid w:val="00B36139"/>
    <w:rsid w:val="00B43893"/>
    <w:rsid w:val="00B444C9"/>
    <w:rsid w:val="00B471FB"/>
    <w:rsid w:val="00B753D0"/>
    <w:rsid w:val="00B96591"/>
    <w:rsid w:val="00BA15F4"/>
    <w:rsid w:val="00BB4D8E"/>
    <w:rsid w:val="00BC5451"/>
    <w:rsid w:val="00BD0C67"/>
    <w:rsid w:val="00BD4406"/>
    <w:rsid w:val="00BE1AF2"/>
    <w:rsid w:val="00BE6682"/>
    <w:rsid w:val="00BF4DC0"/>
    <w:rsid w:val="00BF61E2"/>
    <w:rsid w:val="00C0054F"/>
    <w:rsid w:val="00C01861"/>
    <w:rsid w:val="00C0594F"/>
    <w:rsid w:val="00C17D83"/>
    <w:rsid w:val="00C329BA"/>
    <w:rsid w:val="00C42B07"/>
    <w:rsid w:val="00C51B0A"/>
    <w:rsid w:val="00C54171"/>
    <w:rsid w:val="00C5436B"/>
    <w:rsid w:val="00C55A96"/>
    <w:rsid w:val="00C87760"/>
    <w:rsid w:val="00C967BF"/>
    <w:rsid w:val="00C96E98"/>
    <w:rsid w:val="00CA0CDD"/>
    <w:rsid w:val="00CA48FA"/>
    <w:rsid w:val="00CB0FA2"/>
    <w:rsid w:val="00CB7C4B"/>
    <w:rsid w:val="00CD0141"/>
    <w:rsid w:val="00CE3F32"/>
    <w:rsid w:val="00CF1529"/>
    <w:rsid w:val="00D01D8D"/>
    <w:rsid w:val="00D0446A"/>
    <w:rsid w:val="00D126A9"/>
    <w:rsid w:val="00D154BD"/>
    <w:rsid w:val="00D22FDF"/>
    <w:rsid w:val="00D260DF"/>
    <w:rsid w:val="00D34594"/>
    <w:rsid w:val="00D40F6E"/>
    <w:rsid w:val="00D4523F"/>
    <w:rsid w:val="00D5096B"/>
    <w:rsid w:val="00D56535"/>
    <w:rsid w:val="00D57793"/>
    <w:rsid w:val="00D64DDF"/>
    <w:rsid w:val="00D67B3C"/>
    <w:rsid w:val="00D74B20"/>
    <w:rsid w:val="00D82762"/>
    <w:rsid w:val="00D84070"/>
    <w:rsid w:val="00D85E50"/>
    <w:rsid w:val="00D9147A"/>
    <w:rsid w:val="00D951A8"/>
    <w:rsid w:val="00DB3500"/>
    <w:rsid w:val="00DC5493"/>
    <w:rsid w:val="00DC7748"/>
    <w:rsid w:val="00DD2272"/>
    <w:rsid w:val="00DD7028"/>
    <w:rsid w:val="00DF2CC1"/>
    <w:rsid w:val="00DF6A05"/>
    <w:rsid w:val="00E02BA5"/>
    <w:rsid w:val="00E064C6"/>
    <w:rsid w:val="00E253B1"/>
    <w:rsid w:val="00E33BEA"/>
    <w:rsid w:val="00E521E3"/>
    <w:rsid w:val="00E624F7"/>
    <w:rsid w:val="00E643C0"/>
    <w:rsid w:val="00E66D27"/>
    <w:rsid w:val="00E71639"/>
    <w:rsid w:val="00E86DBC"/>
    <w:rsid w:val="00E9094E"/>
    <w:rsid w:val="00EB7F9A"/>
    <w:rsid w:val="00EC01B3"/>
    <w:rsid w:val="00EC2B3A"/>
    <w:rsid w:val="00ED0AE9"/>
    <w:rsid w:val="00ED3049"/>
    <w:rsid w:val="00ED500B"/>
    <w:rsid w:val="00ED64B0"/>
    <w:rsid w:val="00EE50B5"/>
    <w:rsid w:val="00EE76D8"/>
    <w:rsid w:val="00EE7C58"/>
    <w:rsid w:val="00EF4243"/>
    <w:rsid w:val="00F03714"/>
    <w:rsid w:val="00F13BA3"/>
    <w:rsid w:val="00F20151"/>
    <w:rsid w:val="00F201A9"/>
    <w:rsid w:val="00F217CE"/>
    <w:rsid w:val="00F53BE7"/>
    <w:rsid w:val="00F56E25"/>
    <w:rsid w:val="00F640F1"/>
    <w:rsid w:val="00F7084A"/>
    <w:rsid w:val="00F70B65"/>
    <w:rsid w:val="00F726E2"/>
    <w:rsid w:val="00F823FC"/>
    <w:rsid w:val="00FA1279"/>
    <w:rsid w:val="00FB24FC"/>
    <w:rsid w:val="00FC12BC"/>
    <w:rsid w:val="00FD0AF7"/>
    <w:rsid w:val="00FD1F56"/>
    <w:rsid w:val="00FD395C"/>
    <w:rsid w:val="00FD6CFA"/>
    <w:rsid w:val="00FE2FFB"/>
    <w:rsid w:val="00FE4BB9"/>
    <w:rsid w:val="00FE6572"/>
    <w:rsid w:val="00FF4107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D74DA"/>
  <w15:chartTrackingRefBased/>
  <w15:docId w15:val="{DF8438C6-D7E8-4AEF-8922-310C35D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DAF"/>
    <w:pPr>
      <w:tabs>
        <w:tab w:val="center" w:pos="4252"/>
        <w:tab w:val="right" w:pos="8504"/>
      </w:tabs>
      <w:spacing w:after="0" w:line="240" w:lineRule="auto"/>
    </w:pPr>
    <w:rPr>
      <w:rFonts w:ascii="IberPangea Text Light" w:hAnsi="IberPangea Text Light" w:cs="Times New Roman (Cuerpo en alfa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rsid w:val="00140DAF"/>
    <w:rPr>
      <w:rFonts w:ascii="IberPangea Text Light" w:hAnsi="IberPangea Text Light" w:cs="Times New Roman (Cuerpo en alfa"/>
      <w:szCs w:val="32"/>
    </w:rPr>
  </w:style>
  <w:style w:type="paragraph" w:customStyle="1" w:styleId="DBodytext">
    <w:name w:val="D.Body text"/>
    <w:basedOn w:val="NormalWeb"/>
    <w:link w:val="DBodytextChar"/>
    <w:qFormat/>
    <w:rsid w:val="00140DAF"/>
    <w:pPr>
      <w:spacing w:before="120" w:after="120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140DAF"/>
    <w:rPr>
      <w:rFonts w:ascii="IberPangea Text Light" w:eastAsia="Times New Roman" w:hAnsi="IberPangea Text Light" w:cs="Times New Roman"/>
      <w:color w:val="000000"/>
      <w:sz w:val="20"/>
      <w:lang w:eastAsia="es-ES"/>
    </w:rPr>
  </w:style>
  <w:style w:type="paragraph" w:customStyle="1" w:styleId="MFootnote">
    <w:name w:val="M.Footnote"/>
    <w:basedOn w:val="Normal"/>
    <w:link w:val="MFootnoteChar"/>
    <w:qFormat/>
    <w:rsid w:val="00140DAF"/>
    <w:pPr>
      <w:autoSpaceDE w:val="0"/>
      <w:autoSpaceDN w:val="0"/>
      <w:adjustRightInd w:val="0"/>
      <w:spacing w:after="0" w:line="240" w:lineRule="auto"/>
    </w:pPr>
    <w:rPr>
      <w:rFonts w:ascii="IberPangea Text Light" w:hAnsi="IberPangea Text Light" w:cs="Times New Roman"/>
      <w:iCs/>
      <w:color w:val="00402A"/>
      <w:sz w:val="16"/>
      <w:szCs w:val="14"/>
    </w:rPr>
  </w:style>
  <w:style w:type="character" w:customStyle="1" w:styleId="MFootnoteChar">
    <w:name w:val="M.Footnote Char"/>
    <w:basedOn w:val="Fuentedeprrafopredeter"/>
    <w:link w:val="MFootnote"/>
    <w:rsid w:val="00140DAF"/>
    <w:rPr>
      <w:rFonts w:ascii="IberPangea Text Light" w:hAnsi="IberPangea Text Light" w:cs="Times New Roman"/>
      <w:iCs/>
      <w:color w:val="00402A"/>
      <w:sz w:val="16"/>
      <w:szCs w:val="14"/>
    </w:rPr>
  </w:style>
  <w:style w:type="paragraph" w:styleId="NormalWeb">
    <w:name w:val="Normal (Web)"/>
    <w:basedOn w:val="Normal"/>
    <w:uiPriority w:val="99"/>
    <w:unhideWhenUsed/>
    <w:rsid w:val="00140DA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0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4D9"/>
  </w:style>
  <w:style w:type="character" w:styleId="Hipervnculo">
    <w:name w:val="Hyperlink"/>
    <w:basedOn w:val="Fuentedeprrafopredeter"/>
    <w:uiPriority w:val="99"/>
    <w:unhideWhenUsed/>
    <w:rsid w:val="003F72EF"/>
    <w:rPr>
      <w:color w:val="0000FF" w:themeColor="hyperlink"/>
      <w:u w:val="single"/>
    </w:rPr>
  </w:style>
  <w:style w:type="paragraph" w:customStyle="1" w:styleId="CuerpoA">
    <w:name w:val="Cuerpo A"/>
    <w:rsid w:val="00A05DBB"/>
    <w:pP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lang w:val="es-ES_tradnl" w:eastAsia="es-ES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A05DBB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3758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90FE8"/>
    <w:pPr>
      <w:ind w:left="720"/>
      <w:contextualSpacing/>
    </w:pPr>
  </w:style>
  <w:style w:type="paragraph" w:styleId="Revisin">
    <w:name w:val="Revision"/>
    <w:hidden/>
    <w:uiPriority w:val="99"/>
    <w:semiHidden/>
    <w:rsid w:val="0057609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046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46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46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46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462B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F640F1"/>
  </w:style>
  <w:style w:type="character" w:styleId="Textoennegrita">
    <w:name w:val="Strong"/>
    <w:basedOn w:val="Fuentedeprrafopredeter"/>
    <w:uiPriority w:val="22"/>
    <w:qFormat/>
    <w:rsid w:val="006C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063E-7662-4589-B071-0D8B6420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Ormaechea Merino, Iñigo</dc:creator>
  <cp:keywords/>
  <dc:description/>
  <cp:lastModifiedBy>Vegas Arjona, Patricia</cp:lastModifiedBy>
  <cp:revision>8</cp:revision>
  <dcterms:created xsi:type="dcterms:W3CDTF">2025-07-31T09:45:00Z</dcterms:created>
  <dcterms:modified xsi:type="dcterms:W3CDTF">2025-07-31T15:29:00Z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9b6d123-dc64-4a05-a96a-eb209fd782df_Enabled">
    <vt:lpwstr>true</vt:lpwstr>
  </property>
  <property fmtid="{D5CDD505-2E9C-101B-9397-08002B2CF9AE}" pid="4" name="MSIP_Label_b9b6d123-dc64-4a05-a96a-eb209fd782df_SetDate">
    <vt:lpwstr>2024-09-12T16:44:14Z</vt:lpwstr>
  </property>
  <property fmtid="{D5CDD505-2E9C-101B-9397-08002B2CF9AE}" pid="5" name="MSIP_Label_b9b6d123-dc64-4a05-a96a-eb209fd782df_Method">
    <vt:lpwstr>Privileged</vt:lpwstr>
  </property>
  <property fmtid="{D5CDD505-2E9C-101B-9397-08002B2CF9AE}" pid="6" name="MSIP_Label_b9b6d123-dc64-4a05-a96a-eb209fd782df_Name">
    <vt:lpwstr>Confidential</vt:lpwstr>
  </property>
  <property fmtid="{D5CDD505-2E9C-101B-9397-08002B2CF9AE}" pid="7" name="MSIP_Label_b9b6d123-dc64-4a05-a96a-eb209fd782df_SiteId">
    <vt:lpwstr>031a09bc-a2bf-44df-888e-4e09355b7a24</vt:lpwstr>
  </property>
  <property fmtid="{D5CDD505-2E9C-101B-9397-08002B2CF9AE}" pid="8" name="MSIP_Label_b9b6d123-dc64-4a05-a96a-eb209fd782df_ActionId">
    <vt:lpwstr>891b01d8-5ad3-4a75-b690-456e3dbb034c</vt:lpwstr>
  </property>
  <property fmtid="{D5CDD505-2E9C-101B-9397-08002B2CF9AE}" pid="9" name="MSIP_Label_b9b6d123-dc64-4a05-a96a-eb209fd782df_ContentBits">
    <vt:lpwstr>0</vt:lpwstr>
  </property>
</Properties>
</file>