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387C" w14:textId="77777777" w:rsidR="00C7478C" w:rsidRDefault="00C7478C" w:rsidP="00C01BDB">
      <w:pPr>
        <w:pStyle w:val="Ttulo"/>
        <w:spacing w:before="0" w:after="0" w:line="240" w:lineRule="auto"/>
        <w:ind w:right="-142"/>
        <w:jc w:val="center"/>
        <w:rPr>
          <w:rFonts w:ascii="IberPangea" w:hAnsi="IberPangea" w:cs="IberPangea"/>
          <w:sz w:val="30"/>
          <w:szCs w:val="30"/>
        </w:rPr>
      </w:pPr>
    </w:p>
    <w:p w14:paraId="169615AA" w14:textId="77777777" w:rsidR="00AD575E" w:rsidRDefault="00EA3265" w:rsidP="00C01BDB">
      <w:pPr>
        <w:pStyle w:val="Ttulo"/>
        <w:spacing w:before="0" w:after="0" w:line="240" w:lineRule="auto"/>
        <w:ind w:right="-142"/>
        <w:jc w:val="center"/>
        <w:rPr>
          <w:rFonts w:ascii="IberPangea" w:hAnsi="IberPangea" w:cs="IberPangea"/>
          <w:sz w:val="30"/>
          <w:szCs w:val="30"/>
        </w:rPr>
      </w:pPr>
      <w:r w:rsidRPr="00437C3E">
        <w:rPr>
          <w:rFonts w:ascii="IberPangea" w:hAnsi="IberPangea" w:cs="IberPangea"/>
          <w:sz w:val="30"/>
          <w:szCs w:val="30"/>
        </w:rPr>
        <w:t xml:space="preserve">Honda de México e Iberdrola </w:t>
      </w:r>
      <w:r w:rsidR="00664EAC" w:rsidRPr="00437C3E">
        <w:rPr>
          <w:rFonts w:ascii="IberPangea" w:hAnsi="IberPangea" w:cs="IberPangea"/>
          <w:sz w:val="30"/>
          <w:szCs w:val="30"/>
        </w:rPr>
        <w:t xml:space="preserve">unen esfuerzos </w:t>
      </w:r>
    </w:p>
    <w:p w14:paraId="5B5E1CAA" w14:textId="2293A011" w:rsidR="00384216" w:rsidRPr="00437C3E" w:rsidRDefault="00EA3265" w:rsidP="00C01BDB">
      <w:pPr>
        <w:pStyle w:val="Ttulo"/>
        <w:spacing w:before="0" w:after="0" w:line="240" w:lineRule="auto"/>
        <w:ind w:right="-142"/>
        <w:jc w:val="center"/>
        <w:rPr>
          <w:rFonts w:ascii="IberPangea" w:hAnsi="IberPangea" w:cs="IberPangea"/>
          <w:sz w:val="30"/>
          <w:szCs w:val="30"/>
        </w:rPr>
      </w:pPr>
      <w:r w:rsidRPr="00437C3E">
        <w:rPr>
          <w:rFonts w:ascii="IberPangea" w:hAnsi="IberPangea" w:cs="IberPangea"/>
          <w:sz w:val="30"/>
          <w:szCs w:val="30"/>
        </w:rPr>
        <w:t>por una manufactura sostenible</w:t>
      </w:r>
    </w:p>
    <w:p w14:paraId="08E35438" w14:textId="77777777" w:rsidR="00815D47" w:rsidRDefault="00815D47" w:rsidP="00815D47">
      <w:pPr>
        <w:rPr>
          <w:lang w:eastAsia="ja-JP"/>
        </w:rPr>
      </w:pPr>
    </w:p>
    <w:p w14:paraId="256CE222" w14:textId="231C86B8" w:rsidR="002527C5" w:rsidRPr="002527C5" w:rsidRDefault="00EA3265" w:rsidP="00EA3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49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bookmarkStart w:id="0" w:name="_Hlk167966351"/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Iberdrola México</w:t>
      </w:r>
      <w:r w:rsidR="00045A0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</w:t>
      </w:r>
      <w:r w:rsidR="00C7478C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suministrará </w:t>
      </w:r>
      <w:r w:rsidR="00045A0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energía limpia 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a las plantas de </w:t>
      </w:r>
      <w:r w:rsidR="002F55A2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Honda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</w:t>
      </w:r>
      <w:r w:rsidR="00666115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e</w:t>
      </w:r>
      <w:r w:rsidR="00C7478C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n el país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.</w:t>
      </w:r>
    </w:p>
    <w:bookmarkEnd w:id="0"/>
    <w:p w14:paraId="4D7F63C4" w14:textId="1842D95F" w:rsidR="00EA3265" w:rsidRPr="00EA3265" w:rsidRDefault="00EA3265" w:rsidP="00EA3265">
      <w:pPr>
        <w:pStyle w:val="Prrafodelista"/>
        <w:numPr>
          <w:ilvl w:val="0"/>
          <w:numId w:val="5"/>
        </w:numPr>
        <w:spacing w:after="200" w:line="276" w:lineRule="auto"/>
        <w:ind w:right="49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r w:rsidRPr="00EA3265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Con este acuerdo, Honda da un paso importante </w:t>
      </w:r>
      <w:r w:rsidR="00C7478C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en </w:t>
      </w:r>
      <w:r w:rsidRPr="00EA3265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su iniciativa “Triple</w:t>
      </w:r>
      <w:r w:rsidR="002D163C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Acción a</w:t>
      </w:r>
      <w:r w:rsidRPr="00EA3265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Cero”, que busca la neutralidad de carbono para 2050</w:t>
      </w:r>
      <w:r w:rsidR="00437C3E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.</w:t>
      </w:r>
    </w:p>
    <w:p w14:paraId="3ADDC2E2" w14:textId="77777777" w:rsidR="00E86C9D" w:rsidRPr="00EA3265" w:rsidRDefault="00E86C9D" w:rsidP="0018061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20" w:right="49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14:paraId="2FDBA597" w14:textId="03B635D5" w:rsidR="00BD5045" w:rsidRDefault="00C2560B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El Salto, Jalisco</w:t>
      </w:r>
      <w:r w:rsidR="00CC0BDC" w:rsidRP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, </w:t>
      </w:r>
      <w:r w:rsidR="00242C8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1</w:t>
      </w:r>
      <w:r w:rsidR="00A515A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0</w:t>
      </w:r>
      <w:r w:rsidR="002D2ECF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A515A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marzo</w:t>
      </w:r>
      <w:r w:rsid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CC0BDC" w:rsidRP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202</w:t>
      </w:r>
      <w:r w:rsidR="00242C8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="00CC0BD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.-</w:t>
      </w:r>
      <w:r w:rsidR="00B843E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Honda de México firmó un contrato con Iberdrola México para el suministro de energía 100% renovable en sus plantas de manufactura en Celaya</w:t>
      </w:r>
      <w:r w:rsidR="00E2279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2A5C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843E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Guanajuato</w:t>
      </w:r>
      <w:r w:rsidR="00C747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B843E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El Salto</w:t>
      </w:r>
      <w:r w:rsidR="00E2279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2A5C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843E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Jalisco, </w:t>
      </w:r>
      <w:r w:rsidR="0015501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que contribuirá a la reducción de su huella de carbono.</w:t>
      </w:r>
    </w:p>
    <w:p w14:paraId="6F98FFC8" w14:textId="77777777" w:rsidR="00484533" w:rsidRDefault="00484533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44428E2" w14:textId="60231BF5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Honda da un paso importante hacia el futuro, dirigiéndose a una sociedad libre de carbono, a través de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nuestra iniciativa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‘Triple Acción a Cero’, con la cual busca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mos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neutralidad de carbono para 2050 y mantene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mos el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compromiso de servir a las personas en todo el mundo, bajo el principio de expandir el potencial de sus vidas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 d</w:t>
      </w:r>
      <w:r w:rsidR="0027655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ijo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F03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Yuichi Murata,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presidente de Honda de México, en una ceremonia en el parque eólico Santiago, en el municipio de San Felipe, Guanajuato.</w:t>
      </w:r>
    </w:p>
    <w:p w14:paraId="01DA9627" w14:textId="77777777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F3ABCAC" w14:textId="2035E746" w:rsidR="00D4636C" w:rsidRDefault="00484533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Pr="00484533">
        <w:rPr>
          <w:rFonts w:ascii="Arial" w:hAnsi="Arial" w:cs="Arial"/>
          <w:sz w:val="20"/>
          <w:szCs w:val="20"/>
          <w:lang w:eastAsia="es-ES"/>
        </w:rPr>
        <w:t>Celebramos este acuerdo para proporcionar energía 100% limpia y renovable a las plantas de Honda de Méxic</w:t>
      </w:r>
      <w:r>
        <w:rPr>
          <w:rFonts w:ascii="Arial" w:hAnsi="Arial" w:cs="Arial"/>
          <w:sz w:val="20"/>
          <w:szCs w:val="20"/>
          <w:lang w:eastAsia="es-ES"/>
        </w:rPr>
        <w:t>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una empresa muy comprometida con la protección del medio ambiente y la reducción de la huella de carbono. Con este hito, avanzamos hacia un mundo más sostenible y verde, afianzando el objetivo compartido de ser compañías </w:t>
      </w:r>
      <w:r w:rsidRPr="00DE419A">
        <w:rPr>
          <w:rStyle w:val="EHighlightedtext1Char"/>
          <w:rFonts w:ascii="Arial" w:eastAsia="Calibri" w:hAnsi="Arial" w:cs="Arial"/>
          <w:i/>
          <w:iCs/>
          <w:color w:val="auto"/>
          <w:szCs w:val="20"/>
          <w:lang w:val="es-MX"/>
        </w:rPr>
        <w:t>net zero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 afirmó Vicente Aparicio, director Comercial de Iberdrola México</w:t>
      </w:r>
      <w:r w:rsidR="00CE04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</w:p>
    <w:p w14:paraId="5769993D" w14:textId="77777777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77C493C" w14:textId="444C0F6C" w:rsidR="00D4636C" w:rsidRDefault="00484533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Aparicio explicó que el convenio actualiza </w:t>
      </w:r>
      <w:r w:rsidRPr="00DE41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fuente de energía eléctrica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para las </w:t>
      </w:r>
      <w:r w:rsidRPr="00DE41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plantas de manufactura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Celaya y El Salto,</w:t>
      </w:r>
      <w:r w:rsidRPr="00DE41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las cuale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s, dentro del Mercado Eléctrico Mayorista (MEM), son ahora suministradas con</w:t>
      </w:r>
      <w:r w:rsidRPr="00DE41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energía</w:t>
      </w:r>
      <w:r w:rsidRPr="00DE41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proveniente de los parques eólicos </w:t>
      </w:r>
      <w:r w:rsidR="00670D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Iberdrola México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bookmarkStart w:id="1" w:name="_Hlk170148242"/>
    </w:p>
    <w:p w14:paraId="66A44B7A" w14:textId="77777777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B273D1C" w14:textId="77777777" w:rsidR="00D4636C" w:rsidRDefault="00B2046B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Honda de México</w:t>
      </w:r>
      <w:r w:rsidR="005F12D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utilizará esta electricidad para su producción en el país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5F12D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donde cuenta 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una capacidad instalada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fabricar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hasta 200,000 automóviles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al año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su planta de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Guanajuato y </w:t>
      </w:r>
      <w:r w:rsidRPr="00CB74F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más de 120,000 motocicletas en la de Jalisco, en ambos casos para </w:t>
      </w:r>
      <w:r w:rsidR="00437C3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</w:t>
      </w:r>
      <w:r w:rsidRPr="00CB74F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mercado local y de exportación</w:t>
      </w:r>
      <w:r w:rsidR="001D7D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196D9155" w14:textId="77777777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D28A728" w14:textId="2718799B" w:rsidR="00D4636C" w:rsidRDefault="000455A3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r w:rsidRPr="00D26A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suministro de energía renovable a Honda </w:t>
      </w:r>
      <w:r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evitará la emisión anual de </w:t>
      </w:r>
      <w:r w:rsidR="001C424E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63</w:t>
      </w:r>
      <w:r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,</w:t>
      </w:r>
      <w:r w:rsidR="001C424E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826</w:t>
      </w:r>
      <w:r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toneladas de dióxido de carbono (CO</w:t>
      </w:r>
      <w:r w:rsidRPr="00D26A40">
        <w:rPr>
          <w:rStyle w:val="EHighlightedtext1Char"/>
          <w:rFonts w:ascii="Arial" w:eastAsia="Calibri" w:hAnsi="Arial" w:cs="Arial"/>
          <w:color w:val="auto"/>
          <w:szCs w:val="20"/>
          <w:vertAlign w:val="subscript"/>
          <w:lang w:val="es-ES"/>
        </w:rPr>
        <w:t>2</w:t>
      </w:r>
      <w:r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) a la atmósfera, el equivalente </w:t>
      </w:r>
      <w:r w:rsidR="006A0905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al carbono</w:t>
      </w:r>
      <w:r w:rsidR="00E30DFC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207262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capturado por </w:t>
      </w:r>
      <w:r w:rsidR="002B26E4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más</w:t>
      </w:r>
      <w:r w:rsidR="00207262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de</w:t>
      </w:r>
      <w:r w:rsidR="006A0905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E30DFC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1</w:t>
      </w:r>
      <w:r w:rsidR="006A0905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millón de árboles</w:t>
      </w:r>
      <w:r w:rsid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E30DFC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en un periodo</w:t>
      </w:r>
      <w:r w:rsidR="006A0905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180619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de </w:t>
      </w:r>
      <w:r w:rsidR="006A0905" w:rsidRPr="00D26A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10 años</w:t>
      </w:r>
      <w:r w:rsidR="00D4636C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.</w:t>
      </w:r>
    </w:p>
    <w:p w14:paraId="4BB5C227" w14:textId="77777777" w:rsidR="00D4636C" w:rsidRDefault="00D4636C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</w:p>
    <w:p w14:paraId="0D1B7B0A" w14:textId="01DF1CE6" w:rsidR="006D536D" w:rsidRDefault="0039329A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5F12D4" w:rsidRP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 acuerdo incluye la adquisición de GDOs (Garantías de Origen), </w:t>
      </w:r>
      <w:r w:rsid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 instrumento que permite</w:t>
      </w:r>
      <w:r w:rsidR="005F12D4" w:rsidRP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Honda </w:t>
      </w:r>
      <w:r w:rsid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México certificar</w:t>
      </w:r>
      <w:r w:rsidR="005F12D4" w:rsidRP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reducción de gases de efecto invernadero</w:t>
      </w:r>
      <w:r w:rsid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al</w:t>
      </w:r>
      <w:r w:rsidR="005F12D4" w:rsidRPr="00B607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B7E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asegurar</w:t>
      </w:r>
      <w:r w:rsidR="00D060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con </w:t>
      </w:r>
      <w:r w:rsidR="00D06067" w:rsidRPr="00A0361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total trazabilidad, que el suministro eléctrico proviene de fuentes renovables.</w:t>
      </w:r>
    </w:p>
    <w:bookmarkEnd w:id="1"/>
    <w:p w14:paraId="0718C717" w14:textId="441A9690" w:rsidR="00341564" w:rsidRDefault="00341564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8BCAC5E" w14:textId="77777777" w:rsidR="00180619" w:rsidRPr="00437C3E" w:rsidRDefault="00180619" w:rsidP="00180619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lang w:val="es-ES"/>
        </w:rPr>
      </w:pPr>
    </w:p>
    <w:p w14:paraId="0F15D69A" w14:textId="788DB929" w:rsidR="00D02365" w:rsidRPr="00AE0AD0" w:rsidRDefault="00D02365" w:rsidP="00180619">
      <w:pP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</w:pPr>
      <w:r w:rsidRPr="00AE0AD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H</w:t>
      </w:r>
      <w:r w:rsidR="00D95BD8" w:rsidRPr="00AE0AD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onda: </w:t>
      </w:r>
      <w:r w:rsidR="00437C3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F</w:t>
      </w:r>
      <w:r w:rsidR="00D95BD8" w:rsidRPr="00AE0AD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ábrica</w:t>
      </w:r>
      <w:r w:rsidR="0039329A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s</w:t>
      </w:r>
      <w:r w:rsidR="00D95BD8" w:rsidRPr="00AE0AD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437C3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V</w:t>
      </w:r>
      <w:r w:rsidR="00437C3E" w:rsidRPr="00AE0AD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erde</w:t>
      </w:r>
      <w:r w:rsidR="0039329A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s</w:t>
      </w:r>
    </w:p>
    <w:p w14:paraId="035226A6" w14:textId="64393B41" w:rsidR="00D02365" w:rsidRPr="00D02365" w:rsidRDefault="00D02365" w:rsidP="00180619">
      <w:pP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lastRenderedPageBreak/>
        <w:t xml:space="preserve">Como parte de su estrategia de descarbonización, Honda de México diseñó el proyecto </w:t>
      </w:r>
      <w:r w:rsidR="003932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Fábrica</w:t>
      </w:r>
      <w:r w:rsidR="003932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Verde</w:t>
      </w:r>
      <w:r w:rsidR="003932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s”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ambas plantas, que </w:t>
      </w:r>
      <w:r w:rsidR="00004E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basa</w:t>
      </w:r>
      <w:r w:rsidR="00004E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do 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los principios de producción 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sostenible</w:t>
      </w:r>
      <w:r w:rsidR="00004E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 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busca implementar programas de cumplimiento ambiental, impulsar mejoras de desempeño, reducir la huella de carbono y emplear de manera más eficiente los recursos.</w:t>
      </w:r>
    </w:p>
    <w:p w14:paraId="0A3A5E6D" w14:textId="3579D2DF" w:rsidR="00FB7479" w:rsidRDefault="00004EF9" w:rsidP="00180619">
      <w:pP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el marco de esta iniciativa</w:t>
      </w:r>
      <w:r w:rsidR="00D02365"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Honda analizó la oferta de proveedores de energía limpia para evaluar alternativas en fuentes de abastecimiento</w:t>
      </w:r>
      <w:r w:rsidR="00F64D9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1068CF5B" w14:textId="4FC13B69" w:rsidR="001F2F27" w:rsidRDefault="00D02365" w:rsidP="00180619">
      <w:pP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“Encontramos en 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 excelente aliado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FB74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este nuevo esquema de suministro, minimizaremos aún más el impacto ambiental de nuestra producción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FB74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liderando los esfuerzos para lograr una sociedad libre de carbono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</w:t>
      </w:r>
      <w:r w:rsidR="00FB7479" w:rsidRP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agregó</w:t>
      </w:r>
      <w:r w:rsidRP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Murata</w:t>
      </w:r>
      <w:r w:rsidR="00FB74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quien 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resaltó </w:t>
      </w:r>
      <w:r w:rsidR="00FB74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que l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as plantas 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Pr="00D023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Celaya y El Salto cuentan con la norma ISO 14001 e Industria Limpia, que regula la implementación de un Sistema de Gestión Ambiental.</w:t>
      </w:r>
    </w:p>
    <w:p w14:paraId="6B5F2D29" w14:textId="36D3E872" w:rsidR="00D02365" w:rsidRDefault="001F2F27" w:rsidP="00180619">
      <w:pP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Pr="001F2F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asegura a sus clientes</w:t>
      </w:r>
      <w:r w:rsidRPr="001F2F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suministro de energía confiable, competitivo y sostenible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1F2F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contribuyendo así a acelerar </w:t>
      </w:r>
      <w:r w:rsidRPr="001F2F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transición energética</w:t>
      </w:r>
      <w:r w:rsidR="00664E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el país</w:t>
      </w:r>
      <w:r w:rsidR="00004E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concluyó Vicente Aparicio, director Comercial.</w:t>
      </w:r>
    </w:p>
    <w:p w14:paraId="04CB56C4" w14:textId="77777777" w:rsidR="00180619" w:rsidRPr="001F2F27" w:rsidRDefault="00180619" w:rsidP="00180619">
      <w:pPr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7BCA12CE" w14:textId="77777777" w:rsidR="00D02365" w:rsidRPr="0073723C" w:rsidRDefault="00D02365" w:rsidP="00D02365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</w:t>
      </w: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Iberdrola 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12407435" w14:textId="138AC7FC" w:rsidR="00D02365" w:rsidRPr="00437C3E" w:rsidRDefault="00D02365" w:rsidP="00D02365">
      <w:pPr>
        <w:jc w:val="both"/>
        <w:rPr>
          <w:rFonts w:ascii="Arial" w:hAnsi="Arial" w:cs="Arial"/>
          <w:sz w:val="18"/>
          <w:szCs w:val="18"/>
        </w:rPr>
      </w:pPr>
      <w:r w:rsidRPr="00437C3E">
        <w:rPr>
          <w:rFonts w:ascii="Arial" w:hAnsi="Arial" w:cs="Arial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</w:t>
      </w:r>
      <w:r w:rsidR="00BE5B29">
        <w:rPr>
          <w:rFonts w:ascii="Arial" w:hAnsi="Arial" w:cs="Arial"/>
          <w:sz w:val="18"/>
          <w:szCs w:val="18"/>
        </w:rPr>
        <w:t>,</w:t>
      </w:r>
      <w:r w:rsidRPr="00437C3E">
        <w:rPr>
          <w:rFonts w:ascii="Arial" w:hAnsi="Arial" w:cs="Arial"/>
          <w:sz w:val="18"/>
          <w:szCs w:val="18"/>
        </w:rPr>
        <w:t xml:space="preserve"> repartida en 15 centrales: parques eólicos, fotovoltaicos, ciclos combinados y cogeneraciones. La compañía cuenta con una sólida cartera de proyectos renovables -fotovoltaicos y eólicos- y ofrece soluciones de descarbonización a clientes industriales, </w:t>
      </w:r>
      <w:r w:rsidR="00BE5B29">
        <w:rPr>
          <w:rFonts w:ascii="Arial" w:hAnsi="Arial" w:cs="Arial"/>
          <w:sz w:val="18"/>
          <w:szCs w:val="18"/>
        </w:rPr>
        <w:t>mediante</w:t>
      </w:r>
      <w:r w:rsidRPr="00437C3E">
        <w:rPr>
          <w:rFonts w:ascii="Arial" w:hAnsi="Arial" w:cs="Arial"/>
          <w:sz w:val="18"/>
          <w:szCs w:val="18"/>
        </w:rPr>
        <w:t xml:space="preserve"> productos de generación distribuida como Smart Solar.</w:t>
      </w:r>
    </w:p>
    <w:p w14:paraId="7765096E" w14:textId="3D2DEB5E" w:rsidR="00D02365" w:rsidRPr="00437C3E" w:rsidRDefault="00D02365" w:rsidP="00D02365">
      <w:pPr>
        <w:jc w:val="both"/>
        <w:rPr>
          <w:rFonts w:ascii="Arial" w:hAnsi="Arial" w:cs="Arial"/>
          <w:sz w:val="18"/>
          <w:szCs w:val="18"/>
        </w:rPr>
      </w:pPr>
      <w:r w:rsidRPr="00437C3E">
        <w:rPr>
          <w:rFonts w:ascii="Arial" w:hAnsi="Arial" w:cs="Arial"/>
          <w:sz w:val="18"/>
          <w:szCs w:val="18"/>
        </w:rPr>
        <w:t>Para conocer más sobre la compañía, visita</w:t>
      </w:r>
      <w:r w:rsidR="00437C3E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iberdrolamexico.com</w:t>
        </w:r>
      </w:hyperlink>
      <w:r w:rsidRPr="00437C3E">
        <w:rPr>
          <w:rFonts w:ascii="Arial" w:hAnsi="Arial" w:cs="Arial"/>
          <w:sz w:val="18"/>
          <w:szCs w:val="18"/>
          <w:highlight w:val="white"/>
        </w:rPr>
        <w:t xml:space="preserve"> </w:t>
      </w:r>
      <w:r w:rsidRPr="00437C3E">
        <w:rPr>
          <w:rFonts w:ascii="Arial" w:hAnsi="Arial" w:cs="Arial"/>
          <w:sz w:val="18"/>
          <w:szCs w:val="18"/>
        </w:rPr>
        <w:t>o síguela en</w:t>
      </w:r>
      <w:r w:rsidR="00437C3E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LinkedIn</w:t>
        </w:r>
      </w:hyperlink>
      <w:r w:rsidR="00437C3E">
        <w:rPr>
          <w:rFonts w:ascii="Arial" w:hAnsi="Arial" w:cs="Arial"/>
          <w:sz w:val="18"/>
          <w:szCs w:val="18"/>
        </w:rPr>
        <w:t xml:space="preserve">, </w:t>
      </w:r>
      <w:hyperlink r:id="rId13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Facebook</w:t>
        </w:r>
      </w:hyperlink>
      <w:r w:rsidR="00437C3E">
        <w:rPr>
          <w:rFonts w:ascii="Arial" w:hAnsi="Arial" w:cs="Arial"/>
          <w:sz w:val="18"/>
          <w:szCs w:val="18"/>
        </w:rPr>
        <w:t xml:space="preserve">, </w:t>
      </w:r>
      <w:hyperlink r:id="rId14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Instagram</w:t>
        </w:r>
      </w:hyperlink>
      <w:r w:rsidR="00437C3E">
        <w:rPr>
          <w:rFonts w:ascii="Arial" w:hAnsi="Arial" w:cs="Arial"/>
          <w:sz w:val="18"/>
          <w:szCs w:val="18"/>
        </w:rPr>
        <w:t xml:space="preserve">, </w:t>
      </w:r>
      <w:hyperlink r:id="rId15" w:history="1">
        <w:proofErr w:type="spellStart"/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Tik</w:t>
        </w:r>
        <w:proofErr w:type="spellEnd"/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 xml:space="preserve"> </w:t>
        </w:r>
        <w:proofErr w:type="spellStart"/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Tok</w:t>
        </w:r>
        <w:proofErr w:type="spellEnd"/>
      </w:hyperlink>
      <w:r w:rsidR="00437C3E"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X</w:t>
        </w:r>
      </w:hyperlink>
      <w:r w:rsidR="00437C3E">
        <w:rPr>
          <w:rFonts w:ascii="Arial" w:hAnsi="Arial" w:cs="Arial"/>
          <w:sz w:val="18"/>
          <w:szCs w:val="18"/>
        </w:rPr>
        <w:t xml:space="preserve"> y </w:t>
      </w:r>
      <w:hyperlink r:id="rId17" w:history="1">
        <w:proofErr w:type="spellStart"/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Youtube</w:t>
        </w:r>
        <w:proofErr w:type="spellEnd"/>
      </w:hyperlink>
      <w:r w:rsidRPr="00437C3E">
        <w:rPr>
          <w:rFonts w:ascii="Arial" w:hAnsi="Arial" w:cs="Arial"/>
          <w:sz w:val="18"/>
          <w:szCs w:val="18"/>
          <w:highlight w:val="white"/>
        </w:rPr>
        <w:t xml:space="preserve">. </w:t>
      </w:r>
      <w:r w:rsidRPr="00437C3E">
        <w:rPr>
          <w:rFonts w:ascii="Arial" w:hAnsi="Arial" w:cs="Arial"/>
          <w:sz w:val="18"/>
          <w:szCs w:val="18"/>
        </w:rPr>
        <w:t>También puedes encontrar toda la información sobre los proyectos sociales de Iberdrola México en</w:t>
      </w:r>
      <w:r w:rsidR="00437C3E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="00437C3E" w:rsidRPr="00437C3E">
          <w:rPr>
            <w:rStyle w:val="Hipervnculo"/>
            <w:rFonts w:ascii="Arial" w:hAnsi="Arial" w:cs="Arial"/>
            <w:sz w:val="18"/>
            <w:szCs w:val="18"/>
          </w:rPr>
          <w:t>fundacioniberdrolamexico.org</w:t>
        </w:r>
      </w:hyperlink>
      <w:r w:rsidR="00437C3E">
        <w:rPr>
          <w:rFonts w:ascii="Arial" w:hAnsi="Arial" w:cs="Arial"/>
          <w:sz w:val="18"/>
          <w:szCs w:val="18"/>
        </w:rPr>
        <w:t>.</w:t>
      </w:r>
    </w:p>
    <w:p w14:paraId="7A27C701" w14:textId="77777777" w:rsidR="00D02365" w:rsidRDefault="00D02365" w:rsidP="00D02365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</w:t>
      </w: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>Honda de México</w:t>
      </w:r>
    </w:p>
    <w:p w14:paraId="630A6FEA" w14:textId="77777777" w:rsidR="00D02365" w:rsidRPr="00437C3E" w:rsidRDefault="00D02365" w:rsidP="00D02365">
      <w:pPr>
        <w:jc w:val="both"/>
        <w:rPr>
          <w:rFonts w:ascii="Arial" w:hAnsi="Arial" w:cs="Arial"/>
          <w:sz w:val="18"/>
          <w:szCs w:val="18"/>
        </w:rPr>
      </w:pPr>
      <w:r w:rsidRPr="00437C3E">
        <w:rPr>
          <w:rFonts w:ascii="Arial" w:hAnsi="Arial" w:cs="Arial"/>
          <w:sz w:val="18"/>
          <w:szCs w:val="18"/>
        </w:rPr>
        <w:t xml:space="preserve">Cuenta con dos centros de producción ubicados en Celaya, Guanajuato, y El Salto, Jalisco; en donde se producen motores, transmisiones, motocicletas, productos de fuerza y el vehículo HR-V® para el mercado nacional y de exportación a diversos países del mundo. Honda® ofrece una completa línea de vehículos confiables, eficientes en consumo de combustible y divertidos de manejar, con avanzadas tecnologías de seguridad, comercializados a través de una amplia red de distribuidores. La línea de vehículos incluye los automóviles Honda City®, </w:t>
      </w:r>
      <w:proofErr w:type="spellStart"/>
      <w:r w:rsidRPr="00437C3E">
        <w:rPr>
          <w:rFonts w:ascii="Arial" w:hAnsi="Arial" w:cs="Arial"/>
          <w:sz w:val="18"/>
          <w:szCs w:val="18"/>
        </w:rPr>
        <w:t>Civic</w:t>
      </w:r>
      <w:proofErr w:type="spellEnd"/>
      <w:r w:rsidRPr="00437C3E">
        <w:rPr>
          <w:rFonts w:ascii="Arial" w:hAnsi="Arial" w:cs="Arial"/>
          <w:sz w:val="18"/>
          <w:szCs w:val="18"/>
        </w:rPr>
        <w:t xml:space="preserve">® y Accord®; así como las </w:t>
      </w:r>
      <w:proofErr w:type="spellStart"/>
      <w:r w:rsidRPr="00437C3E">
        <w:rPr>
          <w:rFonts w:ascii="Arial" w:hAnsi="Arial" w:cs="Arial"/>
          <w:sz w:val="18"/>
          <w:szCs w:val="18"/>
        </w:rPr>
        <w:t>SUVs</w:t>
      </w:r>
      <w:proofErr w:type="spellEnd"/>
      <w:r w:rsidRPr="00437C3E">
        <w:rPr>
          <w:rFonts w:ascii="Arial" w:hAnsi="Arial" w:cs="Arial"/>
          <w:sz w:val="18"/>
          <w:szCs w:val="18"/>
        </w:rPr>
        <w:t xml:space="preserve"> BR-V®, HR-V®, CR-V® y Honda </w:t>
      </w:r>
      <w:proofErr w:type="spellStart"/>
      <w:r w:rsidRPr="00437C3E">
        <w:rPr>
          <w:rFonts w:ascii="Arial" w:hAnsi="Arial" w:cs="Arial"/>
          <w:sz w:val="18"/>
          <w:szCs w:val="18"/>
        </w:rPr>
        <w:t>Pilot</w:t>
      </w:r>
      <w:proofErr w:type="spellEnd"/>
      <w:r w:rsidRPr="00437C3E">
        <w:rPr>
          <w:rFonts w:ascii="Arial" w:hAnsi="Arial" w:cs="Arial"/>
          <w:sz w:val="18"/>
          <w:szCs w:val="18"/>
        </w:rPr>
        <w:t xml:space="preserve">®; y la minivan Odyssey®.  Visita nuestra página: </w:t>
      </w:r>
      <w:hyperlink r:id="rId19" w:history="1">
        <w:r w:rsidRPr="00437C3E">
          <w:rPr>
            <w:rFonts w:ascii="Arial" w:hAnsi="Arial" w:cs="Arial"/>
            <w:sz w:val="18"/>
            <w:szCs w:val="18"/>
          </w:rPr>
          <w:t>www.honda.mx/rp</w:t>
        </w:r>
      </w:hyperlink>
      <w:r w:rsidRPr="00437C3E">
        <w:rPr>
          <w:rFonts w:ascii="Arial" w:hAnsi="Arial" w:cs="Arial"/>
          <w:sz w:val="18"/>
          <w:szCs w:val="18"/>
        </w:rPr>
        <w:t>.</w:t>
      </w:r>
    </w:p>
    <w:p w14:paraId="22745C45" w14:textId="673536C0" w:rsidR="00D02365" w:rsidRPr="00EA3265" w:rsidRDefault="00D02365" w:rsidP="00D02365">
      <w:pPr>
        <w:jc w:val="both"/>
        <w:rPr>
          <w:rFonts w:ascii="Arial" w:hAnsi="Arial" w:cs="Arial"/>
          <w:b/>
          <w:sz w:val="18"/>
          <w:szCs w:val="18"/>
        </w:rPr>
      </w:pPr>
      <w:r w:rsidRPr="00EA3265">
        <w:rPr>
          <w:rFonts w:ascii="Arial" w:hAnsi="Arial" w:cs="Arial"/>
          <w:b/>
          <w:sz w:val="18"/>
          <w:szCs w:val="18"/>
        </w:rPr>
        <w:t>Acerca de Triple Acción</w:t>
      </w:r>
      <w:r w:rsidR="0039329A">
        <w:rPr>
          <w:rFonts w:ascii="Arial" w:hAnsi="Arial" w:cs="Arial"/>
          <w:b/>
          <w:sz w:val="18"/>
          <w:szCs w:val="18"/>
        </w:rPr>
        <w:t xml:space="preserve"> a </w:t>
      </w:r>
      <w:r w:rsidRPr="00EA3265">
        <w:rPr>
          <w:rFonts w:ascii="Arial" w:hAnsi="Arial" w:cs="Arial"/>
          <w:b/>
          <w:sz w:val="18"/>
          <w:szCs w:val="18"/>
        </w:rPr>
        <w:t>Cero</w:t>
      </w:r>
    </w:p>
    <w:p w14:paraId="064EA273" w14:textId="6F12D2E2" w:rsidR="00EA3265" w:rsidRPr="00CC34E1" w:rsidRDefault="00D02365" w:rsidP="002A5C27">
      <w:pPr>
        <w:jc w:val="both"/>
        <w:rPr>
          <w:rFonts w:ascii="Arial" w:hAnsi="Arial" w:cs="Arial"/>
          <w:bCs/>
          <w:sz w:val="18"/>
          <w:szCs w:val="18"/>
        </w:rPr>
      </w:pPr>
      <w:r w:rsidRPr="00437C3E">
        <w:rPr>
          <w:rFonts w:ascii="Arial" w:hAnsi="Arial" w:cs="Arial"/>
          <w:sz w:val="18"/>
          <w:szCs w:val="18"/>
        </w:rPr>
        <w:t xml:space="preserve">Para que las personas vivan en la Tierra de forma sostenible, Honda busca una sociedad con impacto ambiental cero. En consecuencia, estableció </w:t>
      </w:r>
      <w:r w:rsidR="0039329A">
        <w:rPr>
          <w:rFonts w:ascii="Arial" w:hAnsi="Arial" w:cs="Arial"/>
          <w:sz w:val="18"/>
          <w:szCs w:val="18"/>
        </w:rPr>
        <w:t>“</w:t>
      </w:r>
      <w:r w:rsidRPr="00437C3E">
        <w:rPr>
          <w:rFonts w:ascii="Arial" w:hAnsi="Arial" w:cs="Arial"/>
          <w:sz w:val="18"/>
          <w:szCs w:val="18"/>
        </w:rPr>
        <w:t xml:space="preserve">Triple </w:t>
      </w:r>
      <w:r w:rsidR="00BE5B29">
        <w:rPr>
          <w:rFonts w:ascii="Arial" w:hAnsi="Arial" w:cs="Arial"/>
          <w:sz w:val="18"/>
          <w:szCs w:val="18"/>
        </w:rPr>
        <w:t xml:space="preserve">Acción </w:t>
      </w:r>
      <w:r w:rsidR="0039329A">
        <w:rPr>
          <w:rFonts w:ascii="Arial" w:hAnsi="Arial" w:cs="Arial"/>
          <w:sz w:val="18"/>
          <w:szCs w:val="18"/>
        </w:rPr>
        <w:t xml:space="preserve">a </w:t>
      </w:r>
      <w:r w:rsidRPr="00437C3E">
        <w:rPr>
          <w:rFonts w:ascii="Arial" w:hAnsi="Arial" w:cs="Arial"/>
          <w:sz w:val="18"/>
          <w:szCs w:val="18"/>
        </w:rPr>
        <w:t>Cero</w:t>
      </w:r>
      <w:r w:rsidR="0039329A">
        <w:rPr>
          <w:rFonts w:ascii="Arial" w:hAnsi="Arial" w:cs="Arial"/>
          <w:sz w:val="18"/>
          <w:szCs w:val="18"/>
        </w:rPr>
        <w:t>”</w:t>
      </w:r>
      <w:r w:rsidRPr="00437C3E">
        <w:rPr>
          <w:rFonts w:ascii="Arial" w:hAnsi="Arial" w:cs="Arial"/>
          <w:sz w:val="18"/>
          <w:szCs w:val="18"/>
        </w:rPr>
        <w:t xml:space="preserve">, un concepto relacionado con las iniciativas ambientales que integra tres elementos: neutralidad de carbono, energía limpia y circulación de recursos. Para conocer más sobre esta iniciativa visita: </w:t>
      </w:r>
      <w:hyperlink r:id="rId20" w:history="1">
        <w:r w:rsidRPr="00CC34E1">
          <w:rPr>
            <w:rStyle w:val="Hipervnculo"/>
            <w:rFonts w:ascii="Arial" w:hAnsi="Arial" w:cs="Arial"/>
            <w:bCs/>
            <w:sz w:val="18"/>
            <w:szCs w:val="18"/>
          </w:rPr>
          <w:t>https://global.honda/en/environment/triple_action_to_zero/</w:t>
        </w:r>
      </w:hyperlink>
      <w:r w:rsidRPr="00CC34E1">
        <w:rPr>
          <w:rFonts w:ascii="Arial" w:hAnsi="Arial" w:cs="Arial"/>
          <w:bCs/>
          <w:sz w:val="18"/>
          <w:szCs w:val="18"/>
        </w:rPr>
        <w:t xml:space="preserve"> </w:t>
      </w:r>
    </w:p>
    <w:p w14:paraId="7E889518" w14:textId="77777777" w:rsidR="00B41684" w:rsidRPr="00C7478C" w:rsidRDefault="00B41684" w:rsidP="002A5C27">
      <w:pPr>
        <w:jc w:val="both"/>
        <w:rPr>
          <w:rStyle w:val="EHighlightedtext1Char"/>
          <w:rFonts w:ascii="Arial" w:eastAsiaTheme="minorHAnsi" w:hAnsi="Arial" w:cs="Arial"/>
          <w:bCs/>
          <w:color w:val="auto"/>
          <w:sz w:val="18"/>
          <w:szCs w:val="18"/>
          <w:lang w:val="es-MX" w:eastAsia="en-US"/>
        </w:rPr>
      </w:pPr>
    </w:p>
    <w:sectPr w:rsidR="00B41684" w:rsidRPr="00C7478C" w:rsidSect="0088639F">
      <w:headerReference w:type="default" r:id="rId21"/>
      <w:footerReference w:type="default" r:id="rId2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57E9" w14:textId="77777777" w:rsidR="004F6AFF" w:rsidRDefault="004F6AFF" w:rsidP="00444826">
      <w:pPr>
        <w:spacing w:after="0" w:line="240" w:lineRule="auto"/>
      </w:pPr>
      <w:r>
        <w:separator/>
      </w:r>
    </w:p>
  </w:endnote>
  <w:endnote w:type="continuationSeparator" w:id="0">
    <w:p w14:paraId="0892640A" w14:textId="77777777" w:rsidR="004F6AFF" w:rsidRDefault="004F6AFF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berPangea Text Ligh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IberPangea Text">
    <w:altName w:val="Calibri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berPangea">
    <w:altName w:val="Cambria"/>
    <w:panose1 w:val="020B0604020202020204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1DC2A792" w:rsidR="00230C15" w:rsidRDefault="00D254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898F886" wp14:editId="5FD8DDD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E3253F" w14:textId="3647D3F8" w:rsidR="00EA7F1D" w:rsidRPr="00EA7F1D" w:rsidRDefault="00EA7F1D" w:rsidP="00EA7F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EA7F1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EA7F1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F8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55.45pt;width:612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6E3253F" w14:textId="3647D3F8" w:rsidR="00EA7F1D" w:rsidRPr="00EA7F1D" w:rsidRDefault="00EA7F1D" w:rsidP="00EA7F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EA7F1D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A11FC0" wp14:editId="440F16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11FC0" id="Cuadro de texto 1" o:spid="_x0000_s1027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1B18" w14:textId="77777777" w:rsidR="004F6AFF" w:rsidRDefault="004F6AFF" w:rsidP="00444826">
      <w:pPr>
        <w:spacing w:after="0" w:line="240" w:lineRule="auto"/>
      </w:pPr>
      <w:r>
        <w:separator/>
      </w:r>
    </w:p>
  </w:footnote>
  <w:footnote w:type="continuationSeparator" w:id="0">
    <w:p w14:paraId="513BE0A6" w14:textId="77777777" w:rsidR="004F6AFF" w:rsidRDefault="004F6AFF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18B1424" w:rsidR="00A756B5" w:rsidRDefault="00F23E7A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E56827">
      <w:rPr>
        <w:rFonts w:eastAsia="Calibri"/>
        <w:noProof/>
      </w:rPr>
      <w:drawing>
        <wp:anchor distT="0" distB="0" distL="114300" distR="114300" simplePos="0" relativeHeight="251668480" behindDoc="1" locked="0" layoutInCell="1" allowOverlap="1" wp14:anchorId="39F75B72" wp14:editId="564223BC">
          <wp:simplePos x="0" y="0"/>
          <wp:positionH relativeFrom="margin">
            <wp:posOffset>-127635</wp:posOffset>
          </wp:positionH>
          <wp:positionV relativeFrom="paragraph">
            <wp:posOffset>55245</wp:posOffset>
          </wp:positionV>
          <wp:extent cx="1895475" cy="315595"/>
          <wp:effectExtent l="0" t="0" r="9525" b="8255"/>
          <wp:wrapTight wrapText="bothSides">
            <wp:wrapPolygon edited="0">
              <wp:start x="0" y="0"/>
              <wp:lineTo x="0" y="20861"/>
              <wp:lineTo x="21491" y="20861"/>
              <wp:lineTo x="21491" y="15646"/>
              <wp:lineTo x="20189" y="0"/>
              <wp:lineTo x="0" y="0"/>
            </wp:wrapPolygon>
          </wp:wrapTight>
          <wp:docPr id="1238152776" name="0 Imagen" descr="Hond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da-logo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A53" w:rsidRPr="00C04BC8">
      <w:rPr>
        <w:rFonts w:ascii="Arial" w:hAnsi="Arial" w:cs="Arial"/>
        <w:caps/>
        <w:noProof/>
      </w:rPr>
      <w:t xml:space="preserve"> </w:t>
    </w:r>
    <w:r w:rsidR="0088639F"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3419CCD8">
          <wp:simplePos x="0" y="0"/>
          <wp:positionH relativeFrom="margin">
            <wp:posOffset>3764915</wp:posOffset>
          </wp:positionH>
          <wp:positionV relativeFrom="paragraph">
            <wp:posOffset>-252095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67"/>
    <w:multiLevelType w:val="multilevel"/>
    <w:tmpl w:val="966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A04113"/>
    <w:multiLevelType w:val="hybridMultilevel"/>
    <w:tmpl w:val="01CEA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36A2"/>
    <w:multiLevelType w:val="hybridMultilevel"/>
    <w:tmpl w:val="6B422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4"/>
  </w:num>
  <w:num w:numId="2" w16cid:durableId="404382860">
    <w:abstractNumId w:val="1"/>
  </w:num>
  <w:num w:numId="3" w16cid:durableId="1212497202">
    <w:abstractNumId w:val="6"/>
  </w:num>
  <w:num w:numId="4" w16cid:durableId="989939622">
    <w:abstractNumId w:val="3"/>
  </w:num>
  <w:num w:numId="5" w16cid:durableId="888494936">
    <w:abstractNumId w:val="5"/>
  </w:num>
  <w:num w:numId="6" w16cid:durableId="1821800610">
    <w:abstractNumId w:val="2"/>
  </w:num>
  <w:num w:numId="7" w16cid:durableId="55419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4EF9"/>
    <w:rsid w:val="000116D5"/>
    <w:rsid w:val="000144D6"/>
    <w:rsid w:val="00015706"/>
    <w:rsid w:val="000222C1"/>
    <w:rsid w:val="00024A75"/>
    <w:rsid w:val="0002723F"/>
    <w:rsid w:val="00030E76"/>
    <w:rsid w:val="00032921"/>
    <w:rsid w:val="00036A43"/>
    <w:rsid w:val="000455A3"/>
    <w:rsid w:val="00045A07"/>
    <w:rsid w:val="000476F1"/>
    <w:rsid w:val="00053624"/>
    <w:rsid w:val="0006397E"/>
    <w:rsid w:val="00063B56"/>
    <w:rsid w:val="00066141"/>
    <w:rsid w:val="00066393"/>
    <w:rsid w:val="00066AA1"/>
    <w:rsid w:val="0006704B"/>
    <w:rsid w:val="00067E5F"/>
    <w:rsid w:val="00071551"/>
    <w:rsid w:val="000734A9"/>
    <w:rsid w:val="00082236"/>
    <w:rsid w:val="00084317"/>
    <w:rsid w:val="00084F7C"/>
    <w:rsid w:val="00090EE8"/>
    <w:rsid w:val="00091312"/>
    <w:rsid w:val="00095D62"/>
    <w:rsid w:val="000A0F10"/>
    <w:rsid w:val="000A17D9"/>
    <w:rsid w:val="000A22BB"/>
    <w:rsid w:val="000B17C5"/>
    <w:rsid w:val="000B7E2C"/>
    <w:rsid w:val="000C0A71"/>
    <w:rsid w:val="000C162E"/>
    <w:rsid w:val="000C27CB"/>
    <w:rsid w:val="000D1032"/>
    <w:rsid w:val="000D2C86"/>
    <w:rsid w:val="000D6B9A"/>
    <w:rsid w:val="000D7D53"/>
    <w:rsid w:val="000E5EF4"/>
    <w:rsid w:val="000E7A6A"/>
    <w:rsid w:val="000F5A59"/>
    <w:rsid w:val="000F6AB1"/>
    <w:rsid w:val="000F7CF4"/>
    <w:rsid w:val="001002C5"/>
    <w:rsid w:val="001008AA"/>
    <w:rsid w:val="00102BD7"/>
    <w:rsid w:val="00103277"/>
    <w:rsid w:val="0011014C"/>
    <w:rsid w:val="00117E52"/>
    <w:rsid w:val="0012366F"/>
    <w:rsid w:val="00125CF5"/>
    <w:rsid w:val="00125E87"/>
    <w:rsid w:val="001260BD"/>
    <w:rsid w:val="00126804"/>
    <w:rsid w:val="00134CB6"/>
    <w:rsid w:val="00134E1B"/>
    <w:rsid w:val="001374D8"/>
    <w:rsid w:val="00150A01"/>
    <w:rsid w:val="001549F8"/>
    <w:rsid w:val="0015501F"/>
    <w:rsid w:val="00156C8D"/>
    <w:rsid w:val="00164A8B"/>
    <w:rsid w:val="00166FBE"/>
    <w:rsid w:val="00170805"/>
    <w:rsid w:val="00177332"/>
    <w:rsid w:val="00180619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C1CCC"/>
    <w:rsid w:val="001C34E6"/>
    <w:rsid w:val="001C424E"/>
    <w:rsid w:val="001D5770"/>
    <w:rsid w:val="001D7725"/>
    <w:rsid w:val="001D7DAD"/>
    <w:rsid w:val="001E05F9"/>
    <w:rsid w:val="001E4042"/>
    <w:rsid w:val="001F2F27"/>
    <w:rsid w:val="001F4541"/>
    <w:rsid w:val="001F7393"/>
    <w:rsid w:val="002001AD"/>
    <w:rsid w:val="00201714"/>
    <w:rsid w:val="00206B3C"/>
    <w:rsid w:val="00207262"/>
    <w:rsid w:val="00207937"/>
    <w:rsid w:val="00210FCF"/>
    <w:rsid w:val="00212C98"/>
    <w:rsid w:val="00216E1D"/>
    <w:rsid w:val="00216F39"/>
    <w:rsid w:val="002212F3"/>
    <w:rsid w:val="002225D8"/>
    <w:rsid w:val="00226345"/>
    <w:rsid w:val="00230C15"/>
    <w:rsid w:val="00232C6F"/>
    <w:rsid w:val="00234C58"/>
    <w:rsid w:val="00235C02"/>
    <w:rsid w:val="00237895"/>
    <w:rsid w:val="00241084"/>
    <w:rsid w:val="0024295A"/>
    <w:rsid w:val="00242C8D"/>
    <w:rsid w:val="0024678B"/>
    <w:rsid w:val="002527C5"/>
    <w:rsid w:val="00257769"/>
    <w:rsid w:val="002675DF"/>
    <w:rsid w:val="00276558"/>
    <w:rsid w:val="0028006A"/>
    <w:rsid w:val="00282AC7"/>
    <w:rsid w:val="00282F12"/>
    <w:rsid w:val="00285762"/>
    <w:rsid w:val="002916DD"/>
    <w:rsid w:val="00292580"/>
    <w:rsid w:val="00297A58"/>
    <w:rsid w:val="002A0012"/>
    <w:rsid w:val="002A018A"/>
    <w:rsid w:val="002A5C27"/>
    <w:rsid w:val="002A68A0"/>
    <w:rsid w:val="002B26E4"/>
    <w:rsid w:val="002B2A14"/>
    <w:rsid w:val="002B2FDC"/>
    <w:rsid w:val="002B6147"/>
    <w:rsid w:val="002B7ED7"/>
    <w:rsid w:val="002C01AF"/>
    <w:rsid w:val="002C148E"/>
    <w:rsid w:val="002D163C"/>
    <w:rsid w:val="002D17F8"/>
    <w:rsid w:val="002D2ECF"/>
    <w:rsid w:val="002D61FC"/>
    <w:rsid w:val="002E1C46"/>
    <w:rsid w:val="002E3F32"/>
    <w:rsid w:val="002F27C9"/>
    <w:rsid w:val="002F5562"/>
    <w:rsid w:val="002F55A2"/>
    <w:rsid w:val="00303BC1"/>
    <w:rsid w:val="003237A5"/>
    <w:rsid w:val="0033581A"/>
    <w:rsid w:val="003368BB"/>
    <w:rsid w:val="00340D36"/>
    <w:rsid w:val="00341564"/>
    <w:rsid w:val="003430A4"/>
    <w:rsid w:val="00350A8D"/>
    <w:rsid w:val="003614AF"/>
    <w:rsid w:val="003648F6"/>
    <w:rsid w:val="0037049E"/>
    <w:rsid w:val="00370AD3"/>
    <w:rsid w:val="003724A0"/>
    <w:rsid w:val="00372A82"/>
    <w:rsid w:val="0037725B"/>
    <w:rsid w:val="00384216"/>
    <w:rsid w:val="00385C19"/>
    <w:rsid w:val="00387EC1"/>
    <w:rsid w:val="00391526"/>
    <w:rsid w:val="0039329A"/>
    <w:rsid w:val="00397947"/>
    <w:rsid w:val="003A0F8A"/>
    <w:rsid w:val="003B249E"/>
    <w:rsid w:val="003C53B3"/>
    <w:rsid w:val="003C566F"/>
    <w:rsid w:val="003C6D8A"/>
    <w:rsid w:val="003C7232"/>
    <w:rsid w:val="003C72B1"/>
    <w:rsid w:val="003E002D"/>
    <w:rsid w:val="003E26B8"/>
    <w:rsid w:val="003E387C"/>
    <w:rsid w:val="003E5B57"/>
    <w:rsid w:val="003F47ED"/>
    <w:rsid w:val="003F744D"/>
    <w:rsid w:val="004008BB"/>
    <w:rsid w:val="00403384"/>
    <w:rsid w:val="00406709"/>
    <w:rsid w:val="00410857"/>
    <w:rsid w:val="0041749B"/>
    <w:rsid w:val="00420526"/>
    <w:rsid w:val="0043011D"/>
    <w:rsid w:val="0043326D"/>
    <w:rsid w:val="00437C3E"/>
    <w:rsid w:val="00444044"/>
    <w:rsid w:val="00444826"/>
    <w:rsid w:val="00451717"/>
    <w:rsid w:val="004521ED"/>
    <w:rsid w:val="00453CFC"/>
    <w:rsid w:val="004570C6"/>
    <w:rsid w:val="00461FB1"/>
    <w:rsid w:val="004669D8"/>
    <w:rsid w:val="00470649"/>
    <w:rsid w:val="00470942"/>
    <w:rsid w:val="004717BD"/>
    <w:rsid w:val="00480389"/>
    <w:rsid w:val="00480F7E"/>
    <w:rsid w:val="00484533"/>
    <w:rsid w:val="0048739D"/>
    <w:rsid w:val="00495F59"/>
    <w:rsid w:val="004A0E7F"/>
    <w:rsid w:val="004A20B6"/>
    <w:rsid w:val="004A28E7"/>
    <w:rsid w:val="004A2A53"/>
    <w:rsid w:val="004A64B7"/>
    <w:rsid w:val="004A685F"/>
    <w:rsid w:val="004B3202"/>
    <w:rsid w:val="004D3AFB"/>
    <w:rsid w:val="004D3F0E"/>
    <w:rsid w:val="004D4094"/>
    <w:rsid w:val="004E32B4"/>
    <w:rsid w:val="004E6123"/>
    <w:rsid w:val="004F656C"/>
    <w:rsid w:val="004F6AFF"/>
    <w:rsid w:val="00502D8B"/>
    <w:rsid w:val="0050312D"/>
    <w:rsid w:val="00510E6C"/>
    <w:rsid w:val="0051594E"/>
    <w:rsid w:val="00515E8D"/>
    <w:rsid w:val="005264BD"/>
    <w:rsid w:val="005265B7"/>
    <w:rsid w:val="0053320A"/>
    <w:rsid w:val="00534E50"/>
    <w:rsid w:val="00545B84"/>
    <w:rsid w:val="00550092"/>
    <w:rsid w:val="0055178B"/>
    <w:rsid w:val="005604D4"/>
    <w:rsid w:val="00563BE2"/>
    <w:rsid w:val="00564E50"/>
    <w:rsid w:val="00566919"/>
    <w:rsid w:val="005726DB"/>
    <w:rsid w:val="00575177"/>
    <w:rsid w:val="005760C1"/>
    <w:rsid w:val="00576A2D"/>
    <w:rsid w:val="00576CEC"/>
    <w:rsid w:val="005804C6"/>
    <w:rsid w:val="00581F22"/>
    <w:rsid w:val="00583428"/>
    <w:rsid w:val="0059329C"/>
    <w:rsid w:val="00594C2B"/>
    <w:rsid w:val="005955C9"/>
    <w:rsid w:val="00597BB2"/>
    <w:rsid w:val="005A42CE"/>
    <w:rsid w:val="005B11F1"/>
    <w:rsid w:val="005B18AA"/>
    <w:rsid w:val="005C1ED8"/>
    <w:rsid w:val="005C5EE8"/>
    <w:rsid w:val="005D0D55"/>
    <w:rsid w:val="005D1288"/>
    <w:rsid w:val="005D2265"/>
    <w:rsid w:val="005D4989"/>
    <w:rsid w:val="005E6BAE"/>
    <w:rsid w:val="005F12D4"/>
    <w:rsid w:val="005F3028"/>
    <w:rsid w:val="005F424D"/>
    <w:rsid w:val="0060292B"/>
    <w:rsid w:val="00602A96"/>
    <w:rsid w:val="0060306D"/>
    <w:rsid w:val="006044FF"/>
    <w:rsid w:val="00616E2D"/>
    <w:rsid w:val="00625EE2"/>
    <w:rsid w:val="0063491C"/>
    <w:rsid w:val="00636570"/>
    <w:rsid w:val="00643B9D"/>
    <w:rsid w:val="006471B3"/>
    <w:rsid w:val="00664EAC"/>
    <w:rsid w:val="00666115"/>
    <w:rsid w:val="00670D67"/>
    <w:rsid w:val="00674468"/>
    <w:rsid w:val="00677B75"/>
    <w:rsid w:val="00686127"/>
    <w:rsid w:val="0068758C"/>
    <w:rsid w:val="00690825"/>
    <w:rsid w:val="006A0905"/>
    <w:rsid w:val="006C0E34"/>
    <w:rsid w:val="006C23B4"/>
    <w:rsid w:val="006C631C"/>
    <w:rsid w:val="006C7583"/>
    <w:rsid w:val="006D0BC5"/>
    <w:rsid w:val="006D536D"/>
    <w:rsid w:val="006E12DF"/>
    <w:rsid w:val="006E39F5"/>
    <w:rsid w:val="006E510C"/>
    <w:rsid w:val="006F203F"/>
    <w:rsid w:val="006F41CB"/>
    <w:rsid w:val="00702417"/>
    <w:rsid w:val="00705999"/>
    <w:rsid w:val="00705AE6"/>
    <w:rsid w:val="00707E88"/>
    <w:rsid w:val="007139A0"/>
    <w:rsid w:val="0071594C"/>
    <w:rsid w:val="00715F31"/>
    <w:rsid w:val="00716FD1"/>
    <w:rsid w:val="00717F98"/>
    <w:rsid w:val="00720489"/>
    <w:rsid w:val="0072329C"/>
    <w:rsid w:val="007258BC"/>
    <w:rsid w:val="00731837"/>
    <w:rsid w:val="007352D0"/>
    <w:rsid w:val="0073723C"/>
    <w:rsid w:val="00752C5A"/>
    <w:rsid w:val="007569B2"/>
    <w:rsid w:val="00757B49"/>
    <w:rsid w:val="00761BE5"/>
    <w:rsid w:val="00762858"/>
    <w:rsid w:val="007671FB"/>
    <w:rsid w:val="00772505"/>
    <w:rsid w:val="00772BA8"/>
    <w:rsid w:val="00781441"/>
    <w:rsid w:val="007A29F6"/>
    <w:rsid w:val="007B383B"/>
    <w:rsid w:val="007B400F"/>
    <w:rsid w:val="007B48D5"/>
    <w:rsid w:val="007B7989"/>
    <w:rsid w:val="007D1187"/>
    <w:rsid w:val="007D1498"/>
    <w:rsid w:val="007D24E2"/>
    <w:rsid w:val="007D740E"/>
    <w:rsid w:val="007E0E20"/>
    <w:rsid w:val="007E1D50"/>
    <w:rsid w:val="007E2117"/>
    <w:rsid w:val="007E3E9D"/>
    <w:rsid w:val="007E41FF"/>
    <w:rsid w:val="007E48E9"/>
    <w:rsid w:val="007F2870"/>
    <w:rsid w:val="0080261C"/>
    <w:rsid w:val="00802F37"/>
    <w:rsid w:val="00807610"/>
    <w:rsid w:val="008111EA"/>
    <w:rsid w:val="00815D47"/>
    <w:rsid w:val="00816C1E"/>
    <w:rsid w:val="00823159"/>
    <w:rsid w:val="0082733E"/>
    <w:rsid w:val="00827BB3"/>
    <w:rsid w:val="00837A25"/>
    <w:rsid w:val="00840BAE"/>
    <w:rsid w:val="008445A0"/>
    <w:rsid w:val="00847D03"/>
    <w:rsid w:val="0085152B"/>
    <w:rsid w:val="00853530"/>
    <w:rsid w:val="00853C8B"/>
    <w:rsid w:val="0086014A"/>
    <w:rsid w:val="008614AC"/>
    <w:rsid w:val="00865F3B"/>
    <w:rsid w:val="00872E61"/>
    <w:rsid w:val="00874264"/>
    <w:rsid w:val="00875EB6"/>
    <w:rsid w:val="00877E29"/>
    <w:rsid w:val="0088639F"/>
    <w:rsid w:val="008938E1"/>
    <w:rsid w:val="00894714"/>
    <w:rsid w:val="008A1B7F"/>
    <w:rsid w:val="008B5E15"/>
    <w:rsid w:val="008B7BAC"/>
    <w:rsid w:val="008C6B14"/>
    <w:rsid w:val="008D2ACB"/>
    <w:rsid w:val="008D63FD"/>
    <w:rsid w:val="008E4D91"/>
    <w:rsid w:val="008E6923"/>
    <w:rsid w:val="008F106A"/>
    <w:rsid w:val="00906FAE"/>
    <w:rsid w:val="00907210"/>
    <w:rsid w:val="00912082"/>
    <w:rsid w:val="0092074D"/>
    <w:rsid w:val="00922283"/>
    <w:rsid w:val="00927E96"/>
    <w:rsid w:val="009326C7"/>
    <w:rsid w:val="009431D2"/>
    <w:rsid w:val="009477EB"/>
    <w:rsid w:val="00950A83"/>
    <w:rsid w:val="0095334F"/>
    <w:rsid w:val="00963FE9"/>
    <w:rsid w:val="00970A46"/>
    <w:rsid w:val="00991CDA"/>
    <w:rsid w:val="009957C6"/>
    <w:rsid w:val="009A312E"/>
    <w:rsid w:val="009B1B16"/>
    <w:rsid w:val="009B5809"/>
    <w:rsid w:val="009C0DDD"/>
    <w:rsid w:val="009C0DF3"/>
    <w:rsid w:val="009E15B6"/>
    <w:rsid w:val="009E3075"/>
    <w:rsid w:val="009E54C2"/>
    <w:rsid w:val="009F72D2"/>
    <w:rsid w:val="00A00066"/>
    <w:rsid w:val="00A0052A"/>
    <w:rsid w:val="00A020F7"/>
    <w:rsid w:val="00A03618"/>
    <w:rsid w:val="00A06B4F"/>
    <w:rsid w:val="00A11EC6"/>
    <w:rsid w:val="00A14ED6"/>
    <w:rsid w:val="00A167BF"/>
    <w:rsid w:val="00A16E8B"/>
    <w:rsid w:val="00A31C5F"/>
    <w:rsid w:val="00A344CB"/>
    <w:rsid w:val="00A36C5E"/>
    <w:rsid w:val="00A4779B"/>
    <w:rsid w:val="00A515AE"/>
    <w:rsid w:val="00A57C33"/>
    <w:rsid w:val="00A62DD6"/>
    <w:rsid w:val="00A63563"/>
    <w:rsid w:val="00A644CD"/>
    <w:rsid w:val="00A670B6"/>
    <w:rsid w:val="00A70032"/>
    <w:rsid w:val="00A756B5"/>
    <w:rsid w:val="00A765AC"/>
    <w:rsid w:val="00A77BB4"/>
    <w:rsid w:val="00A80655"/>
    <w:rsid w:val="00A91C28"/>
    <w:rsid w:val="00A938A2"/>
    <w:rsid w:val="00A95439"/>
    <w:rsid w:val="00AA1446"/>
    <w:rsid w:val="00AA62C4"/>
    <w:rsid w:val="00AB1638"/>
    <w:rsid w:val="00AB2774"/>
    <w:rsid w:val="00AB3EE9"/>
    <w:rsid w:val="00AB4C7A"/>
    <w:rsid w:val="00AB5685"/>
    <w:rsid w:val="00AB7AB5"/>
    <w:rsid w:val="00AC24C4"/>
    <w:rsid w:val="00AC3932"/>
    <w:rsid w:val="00AD575E"/>
    <w:rsid w:val="00AE0AD0"/>
    <w:rsid w:val="00AE46A6"/>
    <w:rsid w:val="00AE7DDF"/>
    <w:rsid w:val="00AF3B56"/>
    <w:rsid w:val="00B041F1"/>
    <w:rsid w:val="00B2046B"/>
    <w:rsid w:val="00B20C91"/>
    <w:rsid w:val="00B22B36"/>
    <w:rsid w:val="00B23431"/>
    <w:rsid w:val="00B23936"/>
    <w:rsid w:val="00B24CBA"/>
    <w:rsid w:val="00B27290"/>
    <w:rsid w:val="00B27A46"/>
    <w:rsid w:val="00B31EBF"/>
    <w:rsid w:val="00B36CEB"/>
    <w:rsid w:val="00B41684"/>
    <w:rsid w:val="00B41BBA"/>
    <w:rsid w:val="00B4664F"/>
    <w:rsid w:val="00B5510C"/>
    <w:rsid w:val="00B60740"/>
    <w:rsid w:val="00B73B38"/>
    <w:rsid w:val="00B83FB5"/>
    <w:rsid w:val="00B843E2"/>
    <w:rsid w:val="00B84F41"/>
    <w:rsid w:val="00B95FCD"/>
    <w:rsid w:val="00BA4023"/>
    <w:rsid w:val="00BB7B36"/>
    <w:rsid w:val="00BC1B39"/>
    <w:rsid w:val="00BC3938"/>
    <w:rsid w:val="00BC6D9B"/>
    <w:rsid w:val="00BD2B8B"/>
    <w:rsid w:val="00BD423D"/>
    <w:rsid w:val="00BD5045"/>
    <w:rsid w:val="00BE0056"/>
    <w:rsid w:val="00BE0E16"/>
    <w:rsid w:val="00BE466A"/>
    <w:rsid w:val="00BE5B29"/>
    <w:rsid w:val="00BE6581"/>
    <w:rsid w:val="00BE6AC7"/>
    <w:rsid w:val="00BF30A1"/>
    <w:rsid w:val="00C0076E"/>
    <w:rsid w:val="00C01369"/>
    <w:rsid w:val="00C0197C"/>
    <w:rsid w:val="00C01BDB"/>
    <w:rsid w:val="00C04BC8"/>
    <w:rsid w:val="00C07CAA"/>
    <w:rsid w:val="00C2133A"/>
    <w:rsid w:val="00C245DC"/>
    <w:rsid w:val="00C2560B"/>
    <w:rsid w:val="00C3221C"/>
    <w:rsid w:val="00C331DA"/>
    <w:rsid w:val="00C377EB"/>
    <w:rsid w:val="00C56BAD"/>
    <w:rsid w:val="00C56C33"/>
    <w:rsid w:val="00C57A28"/>
    <w:rsid w:val="00C60E25"/>
    <w:rsid w:val="00C60FD3"/>
    <w:rsid w:val="00C6128B"/>
    <w:rsid w:val="00C64B23"/>
    <w:rsid w:val="00C658B8"/>
    <w:rsid w:val="00C74417"/>
    <w:rsid w:val="00C7478C"/>
    <w:rsid w:val="00C75EFA"/>
    <w:rsid w:val="00C804FE"/>
    <w:rsid w:val="00C8086B"/>
    <w:rsid w:val="00C92B53"/>
    <w:rsid w:val="00C97435"/>
    <w:rsid w:val="00CA3930"/>
    <w:rsid w:val="00CA6054"/>
    <w:rsid w:val="00CB4C2E"/>
    <w:rsid w:val="00CB5D0F"/>
    <w:rsid w:val="00CB670A"/>
    <w:rsid w:val="00CB74FB"/>
    <w:rsid w:val="00CC0BDC"/>
    <w:rsid w:val="00CC34E1"/>
    <w:rsid w:val="00CC5F2C"/>
    <w:rsid w:val="00CD0C66"/>
    <w:rsid w:val="00CD2B3C"/>
    <w:rsid w:val="00CD398F"/>
    <w:rsid w:val="00CE0457"/>
    <w:rsid w:val="00CE12AA"/>
    <w:rsid w:val="00CE1D52"/>
    <w:rsid w:val="00CE2574"/>
    <w:rsid w:val="00CE50EA"/>
    <w:rsid w:val="00CE5F3F"/>
    <w:rsid w:val="00CE67B0"/>
    <w:rsid w:val="00CF0FA3"/>
    <w:rsid w:val="00D02365"/>
    <w:rsid w:val="00D02807"/>
    <w:rsid w:val="00D06067"/>
    <w:rsid w:val="00D06DC5"/>
    <w:rsid w:val="00D254F8"/>
    <w:rsid w:val="00D26A40"/>
    <w:rsid w:val="00D31D07"/>
    <w:rsid w:val="00D32F34"/>
    <w:rsid w:val="00D36BBF"/>
    <w:rsid w:val="00D3736B"/>
    <w:rsid w:val="00D3747A"/>
    <w:rsid w:val="00D455DF"/>
    <w:rsid w:val="00D4636C"/>
    <w:rsid w:val="00D46780"/>
    <w:rsid w:val="00D512D1"/>
    <w:rsid w:val="00D53D1E"/>
    <w:rsid w:val="00D544D7"/>
    <w:rsid w:val="00D57CE0"/>
    <w:rsid w:val="00D62B06"/>
    <w:rsid w:val="00D63134"/>
    <w:rsid w:val="00D702B6"/>
    <w:rsid w:val="00D74C75"/>
    <w:rsid w:val="00D868EF"/>
    <w:rsid w:val="00D95BD8"/>
    <w:rsid w:val="00DA71B2"/>
    <w:rsid w:val="00DC0B50"/>
    <w:rsid w:val="00DC5221"/>
    <w:rsid w:val="00DC79F7"/>
    <w:rsid w:val="00DE0BDD"/>
    <w:rsid w:val="00DE17B9"/>
    <w:rsid w:val="00DE419A"/>
    <w:rsid w:val="00DE48CC"/>
    <w:rsid w:val="00DE6DDA"/>
    <w:rsid w:val="00DE7725"/>
    <w:rsid w:val="00DF0B2F"/>
    <w:rsid w:val="00DF2E63"/>
    <w:rsid w:val="00DF3B8E"/>
    <w:rsid w:val="00DF45C6"/>
    <w:rsid w:val="00DF4BBB"/>
    <w:rsid w:val="00DF5260"/>
    <w:rsid w:val="00DF5C46"/>
    <w:rsid w:val="00E03DE5"/>
    <w:rsid w:val="00E06DC2"/>
    <w:rsid w:val="00E108CF"/>
    <w:rsid w:val="00E10991"/>
    <w:rsid w:val="00E1312A"/>
    <w:rsid w:val="00E16A5A"/>
    <w:rsid w:val="00E221DA"/>
    <w:rsid w:val="00E22795"/>
    <w:rsid w:val="00E22D31"/>
    <w:rsid w:val="00E232AA"/>
    <w:rsid w:val="00E2357C"/>
    <w:rsid w:val="00E30B11"/>
    <w:rsid w:val="00E30DFC"/>
    <w:rsid w:val="00E31A44"/>
    <w:rsid w:val="00E336A2"/>
    <w:rsid w:val="00E33900"/>
    <w:rsid w:val="00E33F80"/>
    <w:rsid w:val="00E54580"/>
    <w:rsid w:val="00E565A3"/>
    <w:rsid w:val="00E57286"/>
    <w:rsid w:val="00E57BAC"/>
    <w:rsid w:val="00E6077C"/>
    <w:rsid w:val="00E65D92"/>
    <w:rsid w:val="00E65DE6"/>
    <w:rsid w:val="00E676D4"/>
    <w:rsid w:val="00E67AB6"/>
    <w:rsid w:val="00E8655B"/>
    <w:rsid w:val="00E86C9D"/>
    <w:rsid w:val="00E91401"/>
    <w:rsid w:val="00EA3265"/>
    <w:rsid w:val="00EA515A"/>
    <w:rsid w:val="00EA7F1D"/>
    <w:rsid w:val="00EB0F10"/>
    <w:rsid w:val="00EB149A"/>
    <w:rsid w:val="00EB5FBA"/>
    <w:rsid w:val="00EC3E74"/>
    <w:rsid w:val="00EC70D0"/>
    <w:rsid w:val="00EC7BFD"/>
    <w:rsid w:val="00ED46B6"/>
    <w:rsid w:val="00EE5094"/>
    <w:rsid w:val="00EE5BB5"/>
    <w:rsid w:val="00EF1F1B"/>
    <w:rsid w:val="00F02137"/>
    <w:rsid w:val="00F20843"/>
    <w:rsid w:val="00F23E7A"/>
    <w:rsid w:val="00F313C4"/>
    <w:rsid w:val="00F518BF"/>
    <w:rsid w:val="00F52601"/>
    <w:rsid w:val="00F5313E"/>
    <w:rsid w:val="00F546C2"/>
    <w:rsid w:val="00F5559C"/>
    <w:rsid w:val="00F60295"/>
    <w:rsid w:val="00F6033B"/>
    <w:rsid w:val="00F60795"/>
    <w:rsid w:val="00F60ACB"/>
    <w:rsid w:val="00F64D98"/>
    <w:rsid w:val="00F717F7"/>
    <w:rsid w:val="00F7794F"/>
    <w:rsid w:val="00F921AE"/>
    <w:rsid w:val="00F92E4C"/>
    <w:rsid w:val="00F97C6C"/>
    <w:rsid w:val="00FB00EB"/>
    <w:rsid w:val="00FB247D"/>
    <w:rsid w:val="00FB6404"/>
    <w:rsid w:val="00FB7479"/>
    <w:rsid w:val="00FC051F"/>
    <w:rsid w:val="00FC2EA0"/>
    <w:rsid w:val="00FC7F50"/>
    <w:rsid w:val="00FD0F4A"/>
    <w:rsid w:val="00FD1FD2"/>
    <w:rsid w:val="00FD4496"/>
    <w:rsid w:val="00FD5FC4"/>
    <w:rsid w:val="00FE0C54"/>
    <w:rsid w:val="00FE1D73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7B797F2D-0046-4282-B97C-EDDA12C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apple-converted-space">
    <w:name w:val="apple-converted-space"/>
    <w:basedOn w:val="Fuentedeprrafopredeter"/>
    <w:rsid w:val="00EA3265"/>
  </w:style>
  <w:style w:type="table" w:customStyle="1" w:styleId="Tablaconcuadrcula1">
    <w:name w:val="Tabla con cuadrícula1"/>
    <w:basedOn w:val="Tablanormal"/>
    <w:uiPriority w:val="39"/>
    <w:rsid w:val="00B41684"/>
    <w:pPr>
      <w:spacing w:after="0" w:line="240" w:lineRule="auto"/>
    </w:pPr>
    <w:rPr>
      <w:rFonts w:eastAsiaTheme="minorEastAsia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hyperlink" Target="https://global.honda/en/environment/triple_action_to_zer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onda.mx/r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Luisa Lane</cp:lastModifiedBy>
  <cp:revision>2</cp:revision>
  <cp:lastPrinted>2024-06-11T21:13:00Z</cp:lastPrinted>
  <dcterms:created xsi:type="dcterms:W3CDTF">2025-03-10T15:42:00Z</dcterms:created>
  <dcterms:modified xsi:type="dcterms:W3CDTF">2025-03-10T15:42:00Z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