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1AA3F" w14:textId="565A63ED" w:rsidR="009E7832" w:rsidRDefault="009E7832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INFOGRÁFIA </w:t>
      </w:r>
    </w:p>
    <w:p w14:paraId="64B85DDB" w14:textId="2E69C691" w:rsidR="009E7832" w:rsidRDefault="009E7832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Diversidad, equidad e inclusión en Iberdrola México</w:t>
      </w:r>
    </w:p>
    <w:p w14:paraId="2AF36897" w14:textId="5700405F" w:rsidR="009E7832" w:rsidRDefault="009E7832">
      <w:pPr>
        <w:rPr>
          <w:rFonts w:ascii="Arial" w:hAnsi="Arial" w:cs="Arial"/>
          <w:lang w:val="es-ES"/>
        </w:rPr>
      </w:pPr>
    </w:p>
    <w:p w14:paraId="3FB25C58" w14:textId="78DB0854" w:rsidR="009E7832" w:rsidRDefault="009E7832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2022 ha sido clave para la evolución de la compañía en este tema. Trabajamos en una hoja de ruta que ha permitido </w:t>
      </w:r>
      <w:r w:rsidR="00301995">
        <w:rPr>
          <w:rFonts w:ascii="Arial" w:hAnsi="Arial" w:cs="Arial"/>
          <w:lang w:val="es-ES"/>
        </w:rPr>
        <w:t>establecer prioridades inmediatas, como la creación de un área dedicada y la asignación de presupuesto para promover la Diversidad, Equidad e Inclusión (DEI).</w:t>
      </w:r>
    </w:p>
    <w:p w14:paraId="05DB74FB" w14:textId="4F237B67" w:rsidR="00301995" w:rsidRDefault="00301995">
      <w:pPr>
        <w:rPr>
          <w:rFonts w:ascii="Arial" w:hAnsi="Arial" w:cs="Arial"/>
          <w:lang w:val="es-ES"/>
        </w:rPr>
      </w:pPr>
    </w:p>
    <w:p w14:paraId="1F41FD6E" w14:textId="0B65422B" w:rsidR="00301995" w:rsidRDefault="00301995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Sección 1: Definimos una estrategia a 2030</w:t>
      </w:r>
    </w:p>
    <w:p w14:paraId="2F894225" w14:textId="77777777" w:rsidR="00301995" w:rsidRDefault="00301995">
      <w:pPr>
        <w:rPr>
          <w:rFonts w:ascii="Arial" w:hAnsi="Arial" w:cs="Arial"/>
          <w:lang w:val="es-ES"/>
        </w:rPr>
      </w:pPr>
    </w:p>
    <w:p w14:paraId="0E1BED7A" w14:textId="49AC3BC6" w:rsidR="00301995" w:rsidRDefault="00301995" w:rsidP="00301995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301995">
        <w:rPr>
          <w:rFonts w:ascii="Arial" w:hAnsi="Arial" w:cs="Arial"/>
          <w:lang w:val="es-ES"/>
        </w:rPr>
        <w:t xml:space="preserve">Establecimos y cumplimos las metas de nuestro primer decálogo de compromisos en DEI. </w:t>
      </w:r>
    </w:p>
    <w:p w14:paraId="6F7DED93" w14:textId="33904F91" w:rsidR="00301995" w:rsidRDefault="00301995" w:rsidP="00301995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Gestionar el talento de manera inclusiva. </w:t>
      </w:r>
    </w:p>
    <w:p w14:paraId="4249456B" w14:textId="2F270204" w:rsidR="00301995" w:rsidRDefault="00301995" w:rsidP="00301995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Promover una cultura diversa con </w:t>
      </w:r>
      <w:r w:rsidR="00640BBE">
        <w:rPr>
          <w:rFonts w:ascii="Arial" w:hAnsi="Arial" w:cs="Arial"/>
          <w:lang w:val="es-ES"/>
        </w:rPr>
        <w:t xml:space="preserve">capacitación, sensibilización y comunicación. </w:t>
      </w:r>
    </w:p>
    <w:p w14:paraId="06850F06" w14:textId="4F08CDD3" w:rsidR="00640BBE" w:rsidRDefault="00640BBE" w:rsidP="00301995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Influir en nuestro entorno para mejorar hacia una sociedad más justa y equitativa para los grupos vulnerables y las minorías. </w:t>
      </w:r>
    </w:p>
    <w:p w14:paraId="1FCD02E1" w14:textId="34513863" w:rsidR="00640BBE" w:rsidRDefault="00640BBE" w:rsidP="00640BBE">
      <w:pPr>
        <w:rPr>
          <w:rFonts w:ascii="Arial" w:hAnsi="Arial" w:cs="Arial"/>
          <w:lang w:val="es-ES"/>
        </w:rPr>
      </w:pPr>
    </w:p>
    <w:p w14:paraId="2AED0D33" w14:textId="2F30E3CD" w:rsidR="00640BBE" w:rsidRDefault="00640BBE" w:rsidP="00640BBE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Sección 2: Gestión del talento</w:t>
      </w:r>
    </w:p>
    <w:p w14:paraId="019FFE9A" w14:textId="2D4C6B8B" w:rsidR="00640BBE" w:rsidRDefault="00640BBE" w:rsidP="00640BBE">
      <w:pPr>
        <w:rPr>
          <w:rFonts w:ascii="Arial" w:hAnsi="Arial" w:cs="Arial"/>
          <w:lang w:val="es-ES"/>
        </w:rPr>
      </w:pPr>
    </w:p>
    <w:p w14:paraId="67C68218" w14:textId="485F3E7F" w:rsidR="00F27785" w:rsidRDefault="00F27785" w:rsidP="00640BBE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1:</w:t>
      </w:r>
    </w:p>
    <w:p w14:paraId="12A42FDE" w14:textId="77777777" w:rsidR="00F27785" w:rsidRDefault="00F27785" w:rsidP="00640BBE">
      <w:pPr>
        <w:rPr>
          <w:rFonts w:ascii="Arial" w:hAnsi="Arial" w:cs="Arial"/>
          <w:lang w:val="es-ES"/>
        </w:rPr>
      </w:pPr>
    </w:p>
    <w:p w14:paraId="2CB6C653" w14:textId="772DA0D9" w:rsidR="00640BBE" w:rsidRDefault="00640BBE" w:rsidP="00640BBE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Empleados </w:t>
      </w:r>
      <w:r w:rsidR="00F27785">
        <w:rPr>
          <w:rFonts w:ascii="Arial" w:hAnsi="Arial" w:cs="Arial"/>
          <w:lang w:val="es-ES"/>
        </w:rPr>
        <w:t>mil 300</w:t>
      </w:r>
    </w:p>
    <w:p w14:paraId="2C80900E" w14:textId="4CE2A5C3" w:rsidR="00F27785" w:rsidRDefault="00F27785" w:rsidP="00640BBE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Nacionalidades: 11</w:t>
      </w:r>
    </w:p>
    <w:p w14:paraId="2DFE13A4" w14:textId="710D24CC" w:rsidR="00F27785" w:rsidRDefault="00F27785" w:rsidP="00640BBE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Edad promedio: 38</w:t>
      </w:r>
    </w:p>
    <w:p w14:paraId="2049A8B6" w14:textId="08ED770A" w:rsidR="00F27785" w:rsidRDefault="00F27785" w:rsidP="00640BBE">
      <w:pPr>
        <w:rPr>
          <w:rFonts w:ascii="Arial" w:hAnsi="Arial" w:cs="Arial"/>
          <w:lang w:val="es-ES"/>
        </w:rPr>
      </w:pPr>
    </w:p>
    <w:p w14:paraId="18FC7980" w14:textId="7E048C3C" w:rsidR="00F27785" w:rsidRDefault="00F27785" w:rsidP="00640BBE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2:</w:t>
      </w:r>
    </w:p>
    <w:p w14:paraId="7DF14E0E" w14:textId="77777777" w:rsidR="00F27785" w:rsidRDefault="00F27785" w:rsidP="00640BBE">
      <w:pPr>
        <w:rPr>
          <w:rFonts w:ascii="Arial" w:hAnsi="Arial" w:cs="Arial"/>
          <w:lang w:val="es-ES"/>
        </w:rPr>
      </w:pPr>
    </w:p>
    <w:p w14:paraId="22CFCE8A" w14:textId="0F84E0F9" w:rsidR="00F27785" w:rsidRDefault="00F27785" w:rsidP="00640BBE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21% mujeres (cuatro veces más que en 2014).</w:t>
      </w:r>
    </w:p>
    <w:p w14:paraId="77B757A4" w14:textId="4FAA2EB4" w:rsidR="00F27785" w:rsidRDefault="00F27785" w:rsidP="00640BBE">
      <w:pPr>
        <w:rPr>
          <w:rFonts w:ascii="Arial" w:hAnsi="Arial" w:cs="Arial"/>
          <w:lang w:val="es-ES"/>
        </w:rPr>
      </w:pPr>
    </w:p>
    <w:p w14:paraId="4ECEA09B" w14:textId="18DB2413" w:rsidR="00F27785" w:rsidRDefault="00F27785" w:rsidP="00640BBE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3:</w:t>
      </w:r>
    </w:p>
    <w:p w14:paraId="2A039F2E" w14:textId="77777777" w:rsidR="00F27785" w:rsidRDefault="00F27785" w:rsidP="00640BBE">
      <w:pPr>
        <w:rPr>
          <w:rFonts w:ascii="Arial" w:hAnsi="Arial" w:cs="Arial"/>
          <w:lang w:val="es-ES"/>
        </w:rPr>
      </w:pPr>
    </w:p>
    <w:p w14:paraId="710F8FFD" w14:textId="31F186FF" w:rsidR="00F27785" w:rsidRDefault="00F27785" w:rsidP="00640BBE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5% </w:t>
      </w:r>
      <w:proofErr w:type="spellStart"/>
      <w:r>
        <w:rPr>
          <w:rFonts w:ascii="Arial" w:hAnsi="Arial" w:cs="Arial"/>
          <w:lang w:val="es-ES"/>
        </w:rPr>
        <w:t>Baby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Boomer</w:t>
      </w:r>
      <w:proofErr w:type="spellEnd"/>
    </w:p>
    <w:p w14:paraId="19D4C380" w14:textId="7FA07922" w:rsidR="00F27785" w:rsidRDefault="00F27785" w:rsidP="00640BBE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26% Generación X</w:t>
      </w:r>
    </w:p>
    <w:p w14:paraId="4A541BF1" w14:textId="11F0E720" w:rsidR="00F27785" w:rsidRDefault="00F27785" w:rsidP="00640BBE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57% Generación Y</w:t>
      </w:r>
    </w:p>
    <w:p w14:paraId="1ED91958" w14:textId="77777777" w:rsidR="00F27785" w:rsidRDefault="00F27785" w:rsidP="00640BBE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12% Generación Z</w:t>
      </w:r>
    </w:p>
    <w:p w14:paraId="7514FD12" w14:textId="77777777" w:rsidR="00F27785" w:rsidRDefault="00F27785" w:rsidP="00640BBE">
      <w:pPr>
        <w:rPr>
          <w:rFonts w:ascii="Arial" w:hAnsi="Arial" w:cs="Arial"/>
          <w:lang w:val="es-ES"/>
        </w:rPr>
      </w:pPr>
    </w:p>
    <w:p w14:paraId="753095C5" w14:textId="77777777" w:rsidR="00F27785" w:rsidRDefault="00F27785" w:rsidP="00640BBE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Sección 3: Conciliación familiar = equilibrio laboral y personal </w:t>
      </w:r>
    </w:p>
    <w:p w14:paraId="520E2CF1" w14:textId="77777777" w:rsidR="00F27785" w:rsidRDefault="00F27785" w:rsidP="00640BBE">
      <w:pPr>
        <w:rPr>
          <w:rFonts w:ascii="Arial" w:hAnsi="Arial" w:cs="Arial"/>
          <w:lang w:val="es-ES"/>
        </w:rPr>
      </w:pPr>
    </w:p>
    <w:p w14:paraId="5BAE710B" w14:textId="77777777" w:rsidR="00F27785" w:rsidRPr="00F9156E" w:rsidRDefault="00F27785" w:rsidP="00F9156E">
      <w:pPr>
        <w:pStyle w:val="Prrafodelista"/>
        <w:numPr>
          <w:ilvl w:val="0"/>
          <w:numId w:val="2"/>
        </w:numPr>
        <w:rPr>
          <w:rFonts w:ascii="Arial" w:hAnsi="Arial" w:cs="Arial"/>
          <w:lang w:val="es-ES"/>
        </w:rPr>
      </w:pPr>
      <w:r w:rsidRPr="00F9156E">
        <w:rPr>
          <w:rFonts w:ascii="Arial" w:hAnsi="Arial" w:cs="Arial"/>
          <w:lang w:val="es-ES"/>
        </w:rPr>
        <w:t>Ampliamos las licencias parentales.</w:t>
      </w:r>
    </w:p>
    <w:p w14:paraId="135E30FE" w14:textId="77777777" w:rsidR="00F27785" w:rsidRPr="00F9156E" w:rsidRDefault="00F27785" w:rsidP="00F9156E">
      <w:pPr>
        <w:pStyle w:val="Prrafodelista"/>
        <w:numPr>
          <w:ilvl w:val="0"/>
          <w:numId w:val="2"/>
        </w:numPr>
        <w:rPr>
          <w:rFonts w:ascii="Arial" w:hAnsi="Arial" w:cs="Arial"/>
          <w:lang w:val="es-ES"/>
        </w:rPr>
      </w:pPr>
      <w:r w:rsidRPr="00F9156E">
        <w:rPr>
          <w:rFonts w:ascii="Arial" w:hAnsi="Arial" w:cs="Arial"/>
          <w:lang w:val="es-ES"/>
        </w:rPr>
        <w:t xml:space="preserve">Implementamos una jornada continua. </w:t>
      </w:r>
    </w:p>
    <w:p w14:paraId="61DF6920" w14:textId="75772604" w:rsidR="00F27785" w:rsidRPr="00F9156E" w:rsidRDefault="00F9156E" w:rsidP="00F9156E">
      <w:pPr>
        <w:pStyle w:val="Prrafodelista"/>
        <w:numPr>
          <w:ilvl w:val="0"/>
          <w:numId w:val="2"/>
        </w:numPr>
        <w:rPr>
          <w:rFonts w:ascii="Arial" w:hAnsi="Arial" w:cs="Arial"/>
          <w:lang w:val="es-ES"/>
        </w:rPr>
      </w:pPr>
      <w:r w:rsidRPr="00F9156E">
        <w:rPr>
          <w:rFonts w:ascii="Arial" w:hAnsi="Arial" w:cs="Arial"/>
          <w:lang w:val="es-ES"/>
        </w:rPr>
        <w:t>Impartimos siete mil horas de formación en temas de DEI.</w:t>
      </w:r>
      <w:r w:rsidR="00F27785" w:rsidRPr="00F9156E">
        <w:rPr>
          <w:rFonts w:ascii="Arial" w:hAnsi="Arial" w:cs="Arial"/>
          <w:lang w:val="es-ES"/>
        </w:rPr>
        <w:t xml:space="preserve"> </w:t>
      </w:r>
    </w:p>
    <w:p w14:paraId="6E23DE1E" w14:textId="2D8EF409" w:rsidR="00F27785" w:rsidRDefault="00F27785" w:rsidP="00640BBE">
      <w:pPr>
        <w:rPr>
          <w:rFonts w:ascii="Arial" w:hAnsi="Arial" w:cs="Arial"/>
          <w:lang w:val="es-ES"/>
        </w:rPr>
      </w:pPr>
    </w:p>
    <w:p w14:paraId="76B9D564" w14:textId="735CD42B" w:rsidR="00F9156E" w:rsidRDefault="00F9156E" w:rsidP="00640BBE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Sección 4: Cultura inclusiva</w:t>
      </w:r>
    </w:p>
    <w:p w14:paraId="4B445BAC" w14:textId="187DBE9D" w:rsidR="00F9156E" w:rsidRDefault="00F9156E" w:rsidP="00640BBE">
      <w:pPr>
        <w:rPr>
          <w:rFonts w:ascii="Arial" w:hAnsi="Arial" w:cs="Arial"/>
          <w:lang w:val="es-ES"/>
        </w:rPr>
      </w:pPr>
    </w:p>
    <w:p w14:paraId="2B063A71" w14:textId="4AE72289" w:rsidR="00F9156E" w:rsidRPr="00F9156E" w:rsidRDefault="00F9156E" w:rsidP="00F9156E">
      <w:pPr>
        <w:pStyle w:val="Prrafodelista"/>
        <w:numPr>
          <w:ilvl w:val="0"/>
          <w:numId w:val="3"/>
        </w:numPr>
        <w:rPr>
          <w:rFonts w:ascii="Arial" w:hAnsi="Arial" w:cs="Arial"/>
          <w:lang w:val="es-ES"/>
        </w:rPr>
      </w:pPr>
      <w:r w:rsidRPr="00F9156E">
        <w:rPr>
          <w:rFonts w:ascii="Arial" w:hAnsi="Arial" w:cs="Arial"/>
          <w:lang w:val="es-ES"/>
        </w:rPr>
        <w:t xml:space="preserve">Cuarta edición del Foro Mujeres con Energía. </w:t>
      </w:r>
    </w:p>
    <w:p w14:paraId="2024BAB6" w14:textId="113FDFF9" w:rsidR="00F9156E" w:rsidRPr="00F9156E" w:rsidRDefault="00F9156E" w:rsidP="00F9156E">
      <w:pPr>
        <w:pStyle w:val="Prrafodelista"/>
        <w:numPr>
          <w:ilvl w:val="0"/>
          <w:numId w:val="3"/>
        </w:numPr>
        <w:rPr>
          <w:rFonts w:ascii="Arial" w:hAnsi="Arial" w:cs="Arial"/>
          <w:lang w:val="es-ES"/>
        </w:rPr>
      </w:pPr>
      <w:r w:rsidRPr="00F9156E">
        <w:rPr>
          <w:rFonts w:ascii="Arial" w:hAnsi="Arial" w:cs="Arial"/>
          <w:lang w:val="es-ES"/>
        </w:rPr>
        <w:lastRenderedPageBreak/>
        <w:t>Campaña de comunicación “Derribemos Estereotipos”</w:t>
      </w:r>
    </w:p>
    <w:p w14:paraId="5A800D3A" w14:textId="2739D20C" w:rsidR="00F9156E" w:rsidRPr="00F9156E" w:rsidRDefault="00F9156E" w:rsidP="00F9156E">
      <w:pPr>
        <w:pStyle w:val="Prrafodelista"/>
        <w:numPr>
          <w:ilvl w:val="0"/>
          <w:numId w:val="3"/>
        </w:numPr>
        <w:rPr>
          <w:rFonts w:ascii="Arial" w:hAnsi="Arial" w:cs="Arial"/>
          <w:lang w:val="es-ES"/>
        </w:rPr>
      </w:pPr>
      <w:r w:rsidRPr="00F9156E">
        <w:rPr>
          <w:rFonts w:ascii="Arial" w:hAnsi="Arial" w:cs="Arial"/>
          <w:lang w:val="es-ES"/>
        </w:rPr>
        <w:t xml:space="preserve">Primera Semana DEI, con colaboradores, proveedores y clientes. </w:t>
      </w:r>
    </w:p>
    <w:p w14:paraId="59764EA5" w14:textId="77777777" w:rsidR="00301995" w:rsidRDefault="00301995">
      <w:pPr>
        <w:rPr>
          <w:rFonts w:ascii="Arial" w:hAnsi="Arial" w:cs="Arial"/>
          <w:lang w:val="es-ES"/>
        </w:rPr>
      </w:pPr>
    </w:p>
    <w:p w14:paraId="55BD39EB" w14:textId="5763C157" w:rsidR="00301995" w:rsidRDefault="00301995">
      <w:pPr>
        <w:rPr>
          <w:rFonts w:ascii="Arial" w:hAnsi="Arial" w:cs="Arial"/>
          <w:lang w:val="es-ES"/>
        </w:rPr>
      </w:pPr>
    </w:p>
    <w:p w14:paraId="28FCFFB2" w14:textId="48B13C7E" w:rsidR="00301995" w:rsidRDefault="00F9156E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Sección 5: Acción social</w:t>
      </w:r>
    </w:p>
    <w:p w14:paraId="526A8656" w14:textId="5BB085E7" w:rsidR="00F9156E" w:rsidRDefault="00F9156E">
      <w:pPr>
        <w:rPr>
          <w:rFonts w:ascii="Arial" w:hAnsi="Arial" w:cs="Arial"/>
          <w:lang w:val="es-ES"/>
        </w:rPr>
      </w:pPr>
    </w:p>
    <w:p w14:paraId="1E0DE801" w14:textId="43401517" w:rsidR="00F9156E" w:rsidRPr="00F9156E" w:rsidRDefault="00F9156E" w:rsidP="00F9156E">
      <w:pPr>
        <w:pStyle w:val="Prrafodelista"/>
        <w:numPr>
          <w:ilvl w:val="0"/>
          <w:numId w:val="4"/>
        </w:numPr>
        <w:rPr>
          <w:rFonts w:ascii="Arial" w:hAnsi="Arial" w:cs="Arial"/>
          <w:lang w:val="es-ES"/>
        </w:rPr>
      </w:pPr>
      <w:r w:rsidRPr="00F9156E">
        <w:rPr>
          <w:rFonts w:ascii="Arial" w:hAnsi="Arial" w:cs="Arial"/>
          <w:lang w:val="es-ES"/>
        </w:rPr>
        <w:t xml:space="preserve">Concurso “Aliados por la inclusión”: Sumamos como aliadas a organizaciones enfocadas en DEI, a propuesta de la Gente Iberdrola. </w:t>
      </w:r>
    </w:p>
    <w:p w14:paraId="6D24E2CC" w14:textId="200985EE" w:rsidR="00F9156E" w:rsidRDefault="00F9156E" w:rsidP="00F9156E">
      <w:pPr>
        <w:pStyle w:val="Prrafodelista"/>
        <w:numPr>
          <w:ilvl w:val="0"/>
          <w:numId w:val="4"/>
        </w:numPr>
        <w:rPr>
          <w:rFonts w:ascii="Arial" w:hAnsi="Arial" w:cs="Arial"/>
          <w:lang w:val="es-ES"/>
        </w:rPr>
      </w:pPr>
      <w:r w:rsidRPr="00F9156E">
        <w:rPr>
          <w:rFonts w:ascii="Arial" w:hAnsi="Arial" w:cs="Arial"/>
          <w:lang w:val="es-ES"/>
        </w:rPr>
        <w:t xml:space="preserve">Impulso STEM: Inspiramos a estudiantes, especialmente a mujeres, a cursar carreras científicas y tecnológicas. </w:t>
      </w:r>
    </w:p>
    <w:p w14:paraId="2863B2AF" w14:textId="702DF0C3" w:rsidR="00F9156E" w:rsidRDefault="00F9156E" w:rsidP="00F9156E">
      <w:pPr>
        <w:pStyle w:val="Prrafodelista"/>
        <w:numPr>
          <w:ilvl w:val="0"/>
          <w:numId w:val="4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Brigadas Urológicas: Beneficiamos con cirugías gratuitas a </w:t>
      </w:r>
      <w:r w:rsidR="00B97E0E">
        <w:rPr>
          <w:rFonts w:ascii="Arial" w:hAnsi="Arial" w:cs="Arial"/>
          <w:lang w:val="es-ES"/>
        </w:rPr>
        <w:t xml:space="preserve">personas de escasos recursos (sobre todo mujeres) que padecen problemas urológicos complejos. </w:t>
      </w:r>
    </w:p>
    <w:p w14:paraId="2D7A5543" w14:textId="025348AC" w:rsidR="00B97E0E" w:rsidRDefault="00B97E0E" w:rsidP="00F9156E">
      <w:pPr>
        <w:pStyle w:val="Prrafodelista"/>
        <w:numPr>
          <w:ilvl w:val="0"/>
          <w:numId w:val="4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Luces de Esperanza: Llevamos sistemas solares a comunidades rurales sin acceso a la electricidad. </w:t>
      </w:r>
    </w:p>
    <w:p w14:paraId="501798AB" w14:textId="335CEC66" w:rsidR="00B97E0E" w:rsidRDefault="00B97E0E" w:rsidP="00B97E0E">
      <w:pPr>
        <w:rPr>
          <w:rFonts w:ascii="Arial" w:hAnsi="Arial" w:cs="Arial"/>
          <w:lang w:val="es-ES"/>
        </w:rPr>
      </w:pPr>
    </w:p>
    <w:p w14:paraId="0EE5DA67" w14:textId="3B3A0A11" w:rsidR="00B97E0E" w:rsidRDefault="00B97E0E" w:rsidP="00B97E0E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Sección 6: Alianzas estratégicas</w:t>
      </w:r>
    </w:p>
    <w:p w14:paraId="3CA108B1" w14:textId="08D731F7" w:rsidR="00B97E0E" w:rsidRDefault="00B97E0E" w:rsidP="00B97E0E">
      <w:pPr>
        <w:rPr>
          <w:rFonts w:ascii="Arial" w:hAnsi="Arial" w:cs="Arial"/>
          <w:lang w:val="es-ES"/>
        </w:rPr>
      </w:pPr>
    </w:p>
    <w:p w14:paraId="42A48508" w14:textId="3ED01D8E" w:rsidR="00B97E0E" w:rsidRPr="00B97E0E" w:rsidRDefault="00B97E0E" w:rsidP="00B97E0E">
      <w:pPr>
        <w:pStyle w:val="Prrafodelista"/>
        <w:numPr>
          <w:ilvl w:val="0"/>
          <w:numId w:val="5"/>
        </w:numPr>
        <w:rPr>
          <w:rFonts w:ascii="Arial" w:hAnsi="Arial" w:cs="Arial"/>
          <w:lang w:val="es-ES"/>
        </w:rPr>
      </w:pPr>
      <w:r w:rsidRPr="00B97E0E">
        <w:rPr>
          <w:rFonts w:ascii="Arial" w:hAnsi="Arial" w:cs="Arial"/>
          <w:lang w:val="es-ES"/>
        </w:rPr>
        <w:t>ADIL: Sensibilización del personal en temas de diversidad sexual y diseño de la primera Encuesta de DEI.</w:t>
      </w:r>
    </w:p>
    <w:p w14:paraId="510AB297" w14:textId="08F02E1B" w:rsidR="00B97E0E" w:rsidRPr="00B97E0E" w:rsidRDefault="00B97E0E" w:rsidP="00B97E0E">
      <w:pPr>
        <w:pStyle w:val="Prrafodelista"/>
        <w:numPr>
          <w:ilvl w:val="0"/>
          <w:numId w:val="5"/>
        </w:numPr>
        <w:rPr>
          <w:rFonts w:ascii="Arial" w:hAnsi="Arial" w:cs="Arial"/>
          <w:lang w:val="es-ES"/>
        </w:rPr>
      </w:pPr>
      <w:r w:rsidRPr="00B97E0E">
        <w:rPr>
          <w:rFonts w:ascii="Arial" w:hAnsi="Arial" w:cs="Arial"/>
          <w:lang w:val="es-ES"/>
        </w:rPr>
        <w:t xml:space="preserve">Incluyeme.com: Sensibilización en temas de discapacidad. </w:t>
      </w:r>
    </w:p>
    <w:p w14:paraId="6E788868" w14:textId="529AFBFF" w:rsidR="00F9156E" w:rsidRDefault="00F9156E" w:rsidP="00F9156E">
      <w:pPr>
        <w:rPr>
          <w:rFonts w:ascii="Arial" w:hAnsi="Arial" w:cs="Arial"/>
          <w:lang w:val="es-ES"/>
        </w:rPr>
      </w:pPr>
    </w:p>
    <w:p w14:paraId="1EC2537C" w14:textId="77777777" w:rsidR="00F9156E" w:rsidRPr="00F9156E" w:rsidRDefault="00F9156E" w:rsidP="00F9156E">
      <w:pPr>
        <w:rPr>
          <w:rFonts w:ascii="Arial" w:hAnsi="Arial" w:cs="Arial"/>
          <w:lang w:val="es-ES"/>
        </w:rPr>
      </w:pPr>
    </w:p>
    <w:sectPr w:rsidR="00F9156E" w:rsidRPr="00F915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513CC"/>
    <w:multiLevelType w:val="hybridMultilevel"/>
    <w:tmpl w:val="4A6C84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7E3B"/>
    <w:multiLevelType w:val="hybridMultilevel"/>
    <w:tmpl w:val="CA4C6B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73CE2"/>
    <w:multiLevelType w:val="hybridMultilevel"/>
    <w:tmpl w:val="CBF2A6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B45B8"/>
    <w:multiLevelType w:val="hybridMultilevel"/>
    <w:tmpl w:val="B44EB1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9000E"/>
    <w:multiLevelType w:val="hybridMultilevel"/>
    <w:tmpl w:val="728A8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32"/>
    <w:rsid w:val="00301995"/>
    <w:rsid w:val="00640BBE"/>
    <w:rsid w:val="009E7832"/>
    <w:rsid w:val="00B97E0E"/>
    <w:rsid w:val="00F27785"/>
    <w:rsid w:val="00F9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5FDDA6"/>
  <w15:chartTrackingRefBased/>
  <w15:docId w15:val="{D9B2A3C1-58E0-F74E-9EC3-1D5C1E80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1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2023-11-09T16:17:00Z</dcterms:created>
  <dcterms:modified xsi:type="dcterms:W3CDTF">2023-11-09T17:21:00Z</dcterms:modified>
</cp:coreProperties>
</file>