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9B" w:rsidRDefault="00672D83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 w:rsidRPr="00672D8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¡</w:t>
      </w:r>
      <w:bookmarkStart w:id="0" w:name="_GoBack"/>
      <w:r w:rsidRPr="00672D8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Utilizamos nuestra energía para cuidar uno de los recursos más importantes de la Tierra</w:t>
      </w:r>
      <w:bookmarkEnd w:id="0"/>
      <w:r w:rsidRPr="00672D8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: el agua!</w:t>
      </w:r>
    </w:p>
    <w:p w:rsidR="00672D83" w:rsidRDefault="00672D83" w:rsidP="0093320D">
      <w:pPr>
        <w:jc w:val="center"/>
        <w:rPr>
          <w:b/>
        </w:rPr>
      </w:pPr>
    </w:p>
    <w:p w:rsidR="00672D83" w:rsidRDefault="00672D83" w:rsidP="00672D83">
      <w:pPr>
        <w:rPr>
          <w:bCs/>
        </w:rPr>
      </w:pPr>
      <w:r w:rsidRPr="00672D83">
        <w:rPr>
          <w:bCs/>
        </w:rPr>
        <w:t xml:space="preserve">Día Mundial del Agua </w:t>
      </w:r>
    </w:p>
    <w:p w:rsidR="00672D83" w:rsidRPr="00672D83" w:rsidRDefault="00672D83" w:rsidP="00672D83">
      <w:pPr>
        <w:rPr>
          <w:bCs/>
        </w:rPr>
      </w:pPr>
    </w:p>
    <w:p w:rsidR="00672D83" w:rsidRDefault="00672D83" w:rsidP="00672D83">
      <w:pPr>
        <w:rPr>
          <w:bCs/>
        </w:rPr>
      </w:pPr>
      <w:r w:rsidRPr="00672D83">
        <w:rPr>
          <w:bCs/>
        </w:rPr>
        <w:t>¿Cómo cuidamos el agua en nuestras plantas?</w:t>
      </w:r>
    </w:p>
    <w:p w:rsidR="00672D83" w:rsidRPr="00672D83" w:rsidRDefault="00672D83" w:rsidP="00672D83">
      <w:pPr>
        <w:rPr>
          <w:bCs/>
        </w:rPr>
      </w:pPr>
    </w:p>
    <w:p w:rsidR="00672D83" w:rsidRPr="00672D83" w:rsidRDefault="00672D83" w:rsidP="00672D83">
      <w:pPr>
        <w:pStyle w:val="Prrafodelista"/>
        <w:numPr>
          <w:ilvl w:val="0"/>
          <w:numId w:val="6"/>
        </w:numPr>
        <w:rPr>
          <w:bCs/>
        </w:rPr>
      </w:pPr>
      <w:r w:rsidRPr="00672D83">
        <w:rPr>
          <w:bCs/>
        </w:rPr>
        <w:t xml:space="preserve">Utilizamos aguas negras, tratadas salobres o marinas para nuestros procesos de enfriamiento </w:t>
      </w:r>
    </w:p>
    <w:p w:rsidR="00672D83" w:rsidRPr="00672D83" w:rsidRDefault="00672D83" w:rsidP="00672D83">
      <w:pPr>
        <w:pStyle w:val="Prrafodelista"/>
        <w:numPr>
          <w:ilvl w:val="0"/>
          <w:numId w:val="6"/>
        </w:numPr>
        <w:rPr>
          <w:bCs/>
        </w:rPr>
      </w:pPr>
      <w:r w:rsidRPr="00672D83">
        <w:rPr>
          <w:bCs/>
        </w:rPr>
        <w:t>En caso de que no esté disponible ninguna fuente de agua, se utiliza el aire para el proceso de enfriamiento.</w:t>
      </w:r>
    </w:p>
    <w:p w:rsidR="00672D83" w:rsidRPr="00672D83" w:rsidRDefault="00672D83" w:rsidP="00672D83">
      <w:pPr>
        <w:pStyle w:val="Prrafodelista"/>
        <w:numPr>
          <w:ilvl w:val="0"/>
          <w:numId w:val="6"/>
        </w:numPr>
        <w:rPr>
          <w:bCs/>
        </w:rPr>
      </w:pPr>
      <w:r w:rsidRPr="00672D83">
        <w:rPr>
          <w:bCs/>
        </w:rPr>
        <w:t>No disponemos de aguas municipales para este servicio en ninguna de nuestras plantas.</w:t>
      </w:r>
    </w:p>
    <w:p w:rsidR="001F2492" w:rsidRPr="00672D83" w:rsidRDefault="00672D83" w:rsidP="00672D83">
      <w:pPr>
        <w:pStyle w:val="Prrafodelista"/>
        <w:numPr>
          <w:ilvl w:val="0"/>
          <w:numId w:val="6"/>
        </w:numPr>
      </w:pPr>
      <w:r w:rsidRPr="00672D83">
        <w:rPr>
          <w:bCs/>
        </w:rPr>
        <w:t>El agua en las torres de enfriamiento se reutiliza tantas veces como la concentración de sales lo permite, llegando hasta seis ciclos.</w:t>
      </w:r>
    </w:p>
    <w:sectPr w:rsidR="001F2492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E1" w:rsidRDefault="00DD69E1" w:rsidP="009C473D">
      <w:r>
        <w:separator/>
      </w:r>
    </w:p>
  </w:endnote>
  <w:endnote w:type="continuationSeparator" w:id="0">
    <w:p w:rsidR="00DD69E1" w:rsidRDefault="00DD69E1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E1" w:rsidRDefault="00DD69E1" w:rsidP="009C473D">
      <w:r>
        <w:separator/>
      </w:r>
    </w:p>
  </w:footnote>
  <w:footnote w:type="continuationSeparator" w:id="0">
    <w:p w:rsidR="00DD69E1" w:rsidRDefault="00DD69E1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A9AA8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4657"/>
    <w:rsid w:val="00880ECF"/>
    <w:rsid w:val="0088327A"/>
    <w:rsid w:val="00884CD5"/>
    <w:rsid w:val="00892AD8"/>
    <w:rsid w:val="00895440"/>
    <w:rsid w:val="008E63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69E1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04CA-F3DB-47DF-980E-1D5A434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591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2020-09-03T15:48:00Z</dcterms:created>
  <dcterms:modified xsi:type="dcterms:W3CDTF">2020-09-03T15:48:00Z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