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2D" w:rsidRDefault="00202E61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bookmarkStart w:id="0" w:name="_GoBack"/>
      <w:r w:rsidRPr="00202E61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Innovación que contribuye al medio ambiente y la operación de Iberdrola México</w:t>
      </w:r>
      <w:bookmarkEnd w:id="0"/>
    </w:p>
    <w:p w:rsidR="00202E61" w:rsidRPr="00306D0C" w:rsidRDefault="00202E61" w:rsidP="0093320D">
      <w:pPr>
        <w:jc w:val="center"/>
        <w:rPr>
          <w:b/>
        </w:rPr>
      </w:pPr>
    </w:p>
    <w:p w:rsidR="00202E61" w:rsidRDefault="00202E61" w:rsidP="00202E61">
      <w:pPr>
        <w:tabs>
          <w:tab w:val="left" w:pos="1485"/>
        </w:tabs>
        <w:rPr>
          <w:b/>
          <w:bCs/>
        </w:rPr>
      </w:pPr>
      <w:r w:rsidRPr="00E5676E">
        <w:rPr>
          <w:b/>
          <w:bCs/>
        </w:rPr>
        <w:t xml:space="preserve">Hot Tapping </w:t>
      </w:r>
    </w:p>
    <w:p w:rsidR="00202E61" w:rsidRDefault="00202E61" w:rsidP="00202E61">
      <w:pPr>
        <w:tabs>
          <w:tab w:val="left" w:pos="1485"/>
        </w:tabs>
      </w:pPr>
    </w:p>
    <w:p w:rsidR="00202E61" w:rsidRDefault="00202E61" w:rsidP="00202E61">
      <w:pPr>
        <w:tabs>
          <w:tab w:val="left" w:pos="1485"/>
        </w:tabs>
      </w:pPr>
      <w:r w:rsidRPr="00E5676E">
        <w:t>Una alternativa para generar electricidad</w:t>
      </w:r>
      <w:r>
        <w:t xml:space="preserve"> y beneficiar al medio ambiente.</w:t>
      </w:r>
    </w:p>
    <w:p w:rsidR="00202E61" w:rsidRDefault="00202E61" w:rsidP="00202E61">
      <w:pPr>
        <w:tabs>
          <w:tab w:val="left" w:pos="1485"/>
        </w:tabs>
      </w:pPr>
    </w:p>
    <w:p w:rsidR="00202E61" w:rsidRDefault="00202E61" w:rsidP="00202E61">
      <w:pPr>
        <w:tabs>
          <w:tab w:val="left" w:pos="1485"/>
        </w:tabs>
      </w:pPr>
      <w:r>
        <w:t xml:space="preserve">El Hot Tapping es un sistema usado por Iberdrola en México, para reducir el impacto ambiental en la resituación de un gasoducto que alimenta la planta de La Laguna II. Gracias a sus propiedades es posible generar energía eléctrica sin dañar al medio ambiente. </w:t>
      </w:r>
    </w:p>
    <w:p w:rsidR="00202E61" w:rsidRDefault="00202E61" w:rsidP="00202E61">
      <w:pPr>
        <w:tabs>
          <w:tab w:val="left" w:pos="1485"/>
        </w:tabs>
      </w:pPr>
    </w:p>
    <w:p w:rsidR="00202E61" w:rsidRDefault="00202E61" w:rsidP="00202E61">
      <w:pPr>
        <w:pStyle w:val="Prrafodelista"/>
        <w:numPr>
          <w:ilvl w:val="0"/>
          <w:numId w:val="17"/>
        </w:numPr>
        <w:tabs>
          <w:tab w:val="left" w:pos="1485"/>
        </w:tabs>
        <w:spacing w:after="160" w:line="259" w:lineRule="auto"/>
      </w:pPr>
      <w:r>
        <w:t xml:space="preserve">Soldar “T” envolventes </w:t>
      </w:r>
    </w:p>
    <w:p w:rsidR="00202E61" w:rsidRDefault="00202E61" w:rsidP="00202E61">
      <w:pPr>
        <w:pStyle w:val="Prrafodelista"/>
        <w:numPr>
          <w:ilvl w:val="0"/>
          <w:numId w:val="17"/>
        </w:numPr>
        <w:tabs>
          <w:tab w:val="left" w:pos="1485"/>
        </w:tabs>
        <w:spacing w:after="160" w:line="259" w:lineRule="auto"/>
      </w:pPr>
      <w:r>
        <w:t xml:space="preserve">Instalar válvulas </w:t>
      </w:r>
    </w:p>
    <w:p w:rsidR="00202E61" w:rsidRDefault="00202E61" w:rsidP="00202E61">
      <w:pPr>
        <w:pStyle w:val="Prrafodelista"/>
        <w:numPr>
          <w:ilvl w:val="0"/>
          <w:numId w:val="17"/>
        </w:numPr>
        <w:tabs>
          <w:tab w:val="left" w:pos="1485"/>
        </w:tabs>
        <w:spacing w:after="160" w:line="259" w:lineRule="auto"/>
      </w:pPr>
      <w:r>
        <w:t xml:space="preserve">Instalar máquinas Hot Tapping </w:t>
      </w:r>
    </w:p>
    <w:p w:rsidR="00202E61" w:rsidRDefault="00202E61" w:rsidP="00202E61">
      <w:pPr>
        <w:pStyle w:val="Prrafodelista"/>
        <w:numPr>
          <w:ilvl w:val="0"/>
          <w:numId w:val="17"/>
        </w:numPr>
        <w:tabs>
          <w:tab w:val="left" w:pos="1485"/>
        </w:tabs>
        <w:spacing w:after="160" w:line="259" w:lineRule="auto"/>
      </w:pPr>
      <w:r>
        <w:t xml:space="preserve">Instalar Bypass, asegurar flujo </w:t>
      </w:r>
    </w:p>
    <w:p w:rsidR="00202E61" w:rsidRDefault="00202E61" w:rsidP="00202E61">
      <w:pPr>
        <w:pStyle w:val="Prrafodelista"/>
        <w:numPr>
          <w:ilvl w:val="0"/>
          <w:numId w:val="17"/>
        </w:numPr>
        <w:tabs>
          <w:tab w:val="left" w:pos="1485"/>
        </w:tabs>
        <w:spacing w:after="160" w:line="259" w:lineRule="auto"/>
      </w:pPr>
      <w:r>
        <w:t xml:space="preserve">Bloquear flujo con obturadores </w:t>
      </w:r>
    </w:p>
    <w:p w:rsidR="00202E61" w:rsidRDefault="00202E61" w:rsidP="00202E61">
      <w:pPr>
        <w:pStyle w:val="Prrafodelista"/>
        <w:numPr>
          <w:ilvl w:val="0"/>
          <w:numId w:val="17"/>
        </w:numPr>
        <w:tabs>
          <w:tab w:val="left" w:pos="1485"/>
        </w:tabs>
        <w:spacing w:after="160" w:line="259" w:lineRule="auto"/>
      </w:pPr>
      <w:r>
        <w:t xml:space="preserve">Despresurizar para trabajar en punto de interés </w:t>
      </w:r>
    </w:p>
    <w:p w:rsidR="00306D0C" w:rsidRPr="00672D83" w:rsidRDefault="00306D0C" w:rsidP="008101D8"/>
    <w:sectPr w:rsidR="00306D0C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0EC" w:rsidRDefault="00BA50EC" w:rsidP="009C473D">
      <w:r>
        <w:separator/>
      </w:r>
    </w:p>
  </w:endnote>
  <w:endnote w:type="continuationSeparator" w:id="0">
    <w:p w:rsidR="00BA50EC" w:rsidRDefault="00BA50EC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0EC" w:rsidRDefault="00BA50EC" w:rsidP="009C473D">
      <w:r>
        <w:separator/>
      </w:r>
    </w:p>
  </w:footnote>
  <w:footnote w:type="continuationSeparator" w:id="0">
    <w:p w:rsidR="00BA50EC" w:rsidRDefault="00BA50EC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0E770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06"/>
    <w:multiLevelType w:val="hybridMultilevel"/>
    <w:tmpl w:val="838CF7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5D17"/>
    <w:multiLevelType w:val="hybridMultilevel"/>
    <w:tmpl w:val="0B3EB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10C6"/>
    <w:multiLevelType w:val="hybridMultilevel"/>
    <w:tmpl w:val="70BE9D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B4649"/>
    <w:multiLevelType w:val="hybridMultilevel"/>
    <w:tmpl w:val="5F666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91EAC"/>
    <w:multiLevelType w:val="hybridMultilevel"/>
    <w:tmpl w:val="D884DE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E0CB6"/>
    <w:multiLevelType w:val="hybridMultilevel"/>
    <w:tmpl w:val="C84C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131A"/>
    <w:multiLevelType w:val="hybridMultilevel"/>
    <w:tmpl w:val="A1D60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B71FD"/>
    <w:multiLevelType w:val="hybridMultilevel"/>
    <w:tmpl w:val="70E0D6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B2ECF"/>
    <w:multiLevelType w:val="hybridMultilevel"/>
    <w:tmpl w:val="0BCA85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2E61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06D0C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A4FC2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77853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1"/>
    <w:rsid w:val="005A483B"/>
    <w:rsid w:val="005A494F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01D8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3BB6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640A3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50EC"/>
    <w:rsid w:val="00BA78E6"/>
    <w:rsid w:val="00BB0A26"/>
    <w:rsid w:val="00BB0D20"/>
    <w:rsid w:val="00BB4572"/>
    <w:rsid w:val="00BB5CF1"/>
    <w:rsid w:val="00BB7AC3"/>
    <w:rsid w:val="00BC0E7C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B76A5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  <w:style w:type="character" w:customStyle="1" w:styleId="normaltextrun">
    <w:name w:val="normaltextrun"/>
    <w:basedOn w:val="Fuentedeprrafopredeter"/>
    <w:rsid w:val="00BC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0786-4168-41E9-B1C2-7CCE8B2D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619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2</cp:revision>
  <cp:lastPrinted>2018-01-09T18:22:00Z</cp:lastPrinted>
  <dcterms:created xsi:type="dcterms:W3CDTF">2020-09-03T16:22:00Z</dcterms:created>
  <dcterms:modified xsi:type="dcterms:W3CDTF">2020-09-03T16:22:00Z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